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1EB96" w14:textId="77777777" w:rsidR="006250EF" w:rsidRDefault="006250E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DB7D26D" w14:textId="77777777" w:rsidR="006250EF" w:rsidRDefault="006250EF">
      <w:pPr>
        <w:spacing w:after="0"/>
        <w:jc w:val="center"/>
        <w:rPr>
          <w:rFonts w:ascii="Times New Roman" w:eastAsia="Times New Roman" w:hAnsi="Times New Roman" w:cs="Times New Roman"/>
          <w:b/>
        </w:rPr>
      </w:pPr>
    </w:p>
    <w:p w14:paraId="4EEAACA1" w14:textId="4A6E4C3C" w:rsidR="006250EF" w:rsidRDefault="00B35142" w:rsidP="00B35142">
      <w:pPr>
        <w:widowControl w:val="0"/>
        <w:spacing w:before="7" w:after="0" w:line="240" w:lineRule="auto"/>
        <w:ind w:left="220"/>
        <w:jc w:val="center"/>
        <w:rPr>
          <w:rFonts w:ascii="Times New Roman" w:eastAsia="Times New Roman" w:hAnsi="Times New Roman" w:cs="Times New Roman"/>
        </w:rPr>
      </w:pPr>
      <w:r w:rsidRPr="00947E04">
        <w:rPr>
          <w:rStyle w:val="Strong"/>
          <w:rFonts w:ascii="Times New Roman" w:hAnsi="Times New Roman" w:cs="Times New Roman"/>
          <w:bCs w:val="0"/>
          <w:color w:val="111827"/>
          <w:spacing w:val="5"/>
          <w:sz w:val="28"/>
          <w:szCs w:val="28"/>
          <w:shd w:val="clear" w:color="auto" w:fill="FFFFFF"/>
        </w:rPr>
        <w:t>Enhancing Healthcare Equity Through Cultural Competence Training: A Systematic Review of Impact and Implementation</w:t>
      </w:r>
    </w:p>
    <w:p w14:paraId="1BED8B9C" w14:textId="77777777" w:rsidR="004B78A7" w:rsidRDefault="004B78A7">
      <w:pPr>
        <w:widowControl w:val="0"/>
        <w:spacing w:before="7" w:after="0" w:line="240" w:lineRule="auto"/>
        <w:ind w:left="220"/>
        <w:jc w:val="both"/>
        <w:rPr>
          <w:rFonts w:ascii="Times New Roman" w:eastAsia="Times New Roman" w:hAnsi="Times New Roman" w:cs="Times New Roman"/>
        </w:rPr>
      </w:pPr>
    </w:p>
    <w:p w14:paraId="0311A177" w14:textId="3BEA5E93" w:rsidR="004801DF" w:rsidRPr="00DF3600" w:rsidRDefault="00B35142" w:rsidP="004801DF">
      <w:pPr>
        <w:widowControl w:val="0"/>
        <w:spacing w:before="7" w:after="0" w:line="240" w:lineRule="auto"/>
        <w:ind w:left="220"/>
        <w:jc w:val="center"/>
        <w:rPr>
          <w:rFonts w:ascii="Times New Roman" w:eastAsia="Times New Roman" w:hAnsi="Times New Roman" w:cs="Times New Roman"/>
          <w:b/>
        </w:rPr>
      </w:pPr>
      <w:r w:rsidRPr="00B35142">
        <w:rPr>
          <w:rFonts w:ascii="Times New Roman" w:eastAsia="Times New Roman" w:hAnsi="Times New Roman" w:cs="Times New Roman"/>
          <w:b/>
          <w:sz w:val="24"/>
          <w:szCs w:val="24"/>
        </w:rPr>
        <w:t>Indi Dwi Shofi Yanti</w:t>
      </w:r>
      <w:r w:rsidR="004801DF" w:rsidRPr="00B35142">
        <w:rPr>
          <w:rFonts w:ascii="Times New Roman" w:eastAsia="Times New Roman" w:hAnsi="Times New Roman" w:cs="Times New Roman"/>
          <w:b/>
          <w:sz w:val="24"/>
          <w:szCs w:val="24"/>
        </w:rPr>
        <w:t xml:space="preserve"> </w:t>
      </w:r>
      <w:r w:rsidR="004801DF" w:rsidRPr="00B35142">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vertAlign w:val="superscript"/>
        </w:rPr>
        <w:t>*</w:t>
      </w:r>
      <w:r w:rsidRPr="00B35142">
        <w:rPr>
          <w:rFonts w:ascii="Times New Roman" w:eastAsia="Times New Roman" w:hAnsi="Times New Roman" w:cs="Times New Roman"/>
          <w:b/>
          <w:sz w:val="24"/>
          <w:szCs w:val="24"/>
        </w:rPr>
        <w:t xml:space="preserve"> , Fatma Lutfiyatus Sayyida</w:t>
      </w:r>
      <w:r w:rsidR="004801DF" w:rsidRPr="00B35142">
        <w:rPr>
          <w:rFonts w:ascii="Times New Roman" w:eastAsia="Times New Roman" w:hAnsi="Times New Roman" w:cs="Times New Roman"/>
          <w:b/>
          <w:sz w:val="24"/>
          <w:szCs w:val="24"/>
        </w:rPr>
        <w:t xml:space="preserve"> </w:t>
      </w:r>
      <w:r w:rsidRPr="00B35142">
        <w:rPr>
          <w:rFonts w:ascii="Times New Roman" w:eastAsia="Times New Roman" w:hAnsi="Times New Roman" w:cs="Times New Roman"/>
          <w:b/>
          <w:sz w:val="24"/>
          <w:szCs w:val="24"/>
          <w:vertAlign w:val="superscript"/>
        </w:rPr>
        <w:t>1</w:t>
      </w:r>
      <w:r w:rsidRPr="00B35142">
        <w:rPr>
          <w:rFonts w:ascii="Times New Roman" w:eastAsia="Times New Roman" w:hAnsi="Times New Roman" w:cs="Times New Roman"/>
          <w:b/>
          <w:sz w:val="24"/>
          <w:szCs w:val="24"/>
        </w:rPr>
        <w:t xml:space="preserve"> , Anggun Novia</w:t>
      </w:r>
      <w:r w:rsidR="00CE7767">
        <w:rPr>
          <w:rFonts w:ascii="Times New Roman" w:eastAsia="Times New Roman" w:hAnsi="Times New Roman" w:cs="Times New Roman"/>
          <w:b/>
          <w:sz w:val="24"/>
          <w:szCs w:val="24"/>
        </w:rPr>
        <w:t xml:space="preserve"> </w:t>
      </w:r>
      <w:r w:rsidRPr="00B35142">
        <w:rPr>
          <w:rFonts w:ascii="Times New Roman" w:eastAsia="Times New Roman" w:hAnsi="Times New Roman" w:cs="Times New Roman"/>
          <w:b/>
          <w:sz w:val="24"/>
          <w:szCs w:val="24"/>
        </w:rPr>
        <w:t>Indah Fitri</w:t>
      </w:r>
      <w:r w:rsidR="004801DF" w:rsidRPr="00B35142">
        <w:rPr>
          <w:rFonts w:ascii="Times New Roman" w:eastAsia="Times New Roman" w:hAnsi="Times New Roman" w:cs="Times New Roman"/>
          <w:b/>
          <w:sz w:val="24"/>
          <w:szCs w:val="24"/>
        </w:rPr>
        <w:t xml:space="preserve"> </w:t>
      </w:r>
      <w:r w:rsidRPr="00B35142">
        <w:rPr>
          <w:rFonts w:ascii="Times New Roman" w:eastAsia="Times New Roman" w:hAnsi="Times New Roman" w:cs="Times New Roman"/>
          <w:b/>
          <w:sz w:val="24"/>
          <w:szCs w:val="24"/>
          <w:vertAlign w:val="superscript"/>
        </w:rPr>
        <w:t>1</w:t>
      </w:r>
    </w:p>
    <w:p w14:paraId="566BF1C6" w14:textId="77777777" w:rsidR="004801DF" w:rsidRPr="00DF3600" w:rsidRDefault="004801DF" w:rsidP="004801DF">
      <w:pPr>
        <w:widowControl w:val="0"/>
        <w:spacing w:before="7" w:after="0" w:line="240" w:lineRule="auto"/>
        <w:ind w:left="220"/>
        <w:jc w:val="center"/>
        <w:rPr>
          <w:rFonts w:ascii="Times New Roman" w:eastAsia="Times New Roman" w:hAnsi="Times New Roman" w:cs="Times New Roman"/>
          <w:b/>
        </w:rPr>
      </w:pPr>
    </w:p>
    <w:p w14:paraId="3114E27F" w14:textId="5337D89E" w:rsidR="004801DF" w:rsidRDefault="004801DF" w:rsidP="00B35142">
      <w:pPr>
        <w:widowControl w:val="0"/>
        <w:spacing w:before="7" w:after="0" w:line="240" w:lineRule="auto"/>
        <w:ind w:left="220"/>
        <w:jc w:val="center"/>
        <w:rPr>
          <w:rFonts w:ascii="Times New Roman" w:eastAsia="Times New Roman" w:hAnsi="Times New Roman" w:cs="Times New Roman"/>
        </w:rPr>
      </w:pPr>
      <w:r w:rsidRPr="00DF3600">
        <w:rPr>
          <w:rFonts w:ascii="Times New Roman" w:eastAsia="Times New Roman" w:hAnsi="Times New Roman" w:cs="Times New Roman"/>
          <w:vertAlign w:val="superscript"/>
        </w:rPr>
        <w:t>1</w:t>
      </w:r>
      <w:r w:rsidRPr="00DF3600">
        <w:rPr>
          <w:rFonts w:ascii="Times New Roman" w:eastAsia="Times New Roman" w:hAnsi="Times New Roman" w:cs="Times New Roman"/>
        </w:rPr>
        <w:t xml:space="preserve"> </w:t>
      </w:r>
      <w:r w:rsidR="00B35142" w:rsidRPr="00AB737D">
        <w:rPr>
          <w:rFonts w:ascii="Times New Roman" w:hAnsi="Times New Roman" w:cs="Times New Roman"/>
          <w:color w:val="000000"/>
          <w:sz w:val="20"/>
          <w:szCs w:val="20"/>
        </w:rPr>
        <w:t>Department of Public Health, Faculty of Sport Science, Universitas Negeri Malang, Indonesia</w:t>
      </w:r>
    </w:p>
    <w:p w14:paraId="0941FEC0" w14:textId="77777777" w:rsidR="004801DF" w:rsidRDefault="004801DF" w:rsidP="004801DF">
      <w:pPr>
        <w:widowControl w:val="0"/>
        <w:spacing w:before="7" w:after="0" w:line="240" w:lineRule="auto"/>
        <w:ind w:left="220"/>
        <w:jc w:val="both"/>
        <w:rPr>
          <w:rFonts w:ascii="Times New Roman" w:eastAsia="Times New Roman" w:hAnsi="Times New Roman" w:cs="Times New Roman"/>
        </w:rPr>
      </w:pPr>
    </w:p>
    <w:p w14:paraId="43D6D2B5" w14:textId="29E27B51" w:rsidR="004B78A7" w:rsidRDefault="004801DF" w:rsidP="004801DF">
      <w:pPr>
        <w:widowControl w:val="0"/>
        <w:spacing w:after="0" w:line="240" w:lineRule="auto"/>
        <w:ind w:left="220"/>
        <w:jc w:val="center"/>
        <w:rPr>
          <w:rFonts w:ascii="Times New Roman" w:eastAsia="Times New Roman" w:hAnsi="Times New Roman" w:cs="Times New Roman"/>
        </w:rPr>
      </w:pPr>
      <w:r w:rsidRPr="00DF3600">
        <w:rPr>
          <w:rFonts w:ascii="Times New Roman" w:eastAsia="Times New Roman" w:hAnsi="Times New Roman" w:cs="Times New Roman"/>
          <w:b/>
        </w:rPr>
        <w:t>E-mail</w:t>
      </w:r>
      <w:r w:rsidR="00B35142">
        <w:rPr>
          <w:rFonts w:ascii="Times New Roman" w:eastAsia="Times New Roman" w:hAnsi="Times New Roman" w:cs="Times New Roman"/>
        </w:rPr>
        <w:t>: indi.dwi.2406126@students.um.ac.id</w:t>
      </w:r>
    </w:p>
    <w:p w14:paraId="235E441F" w14:textId="77777777" w:rsidR="004801DF" w:rsidRDefault="004801DF" w:rsidP="004801DF">
      <w:pPr>
        <w:widowControl w:val="0"/>
        <w:spacing w:after="0" w:line="240" w:lineRule="auto"/>
        <w:ind w:left="220"/>
        <w:jc w:val="center"/>
        <w:rPr>
          <w:rFonts w:ascii="Times New Roman" w:eastAsia="Times New Roman" w:hAnsi="Times New Roman" w:cs="Times New Roman"/>
        </w:rPr>
      </w:pPr>
    </w:p>
    <w:p w14:paraId="72680EFC" w14:textId="7CB4C25D" w:rsidR="006250EF" w:rsidRDefault="00B35142">
      <w:pPr>
        <w:widowControl w:val="0"/>
        <w:spacing w:before="195" w:after="0" w:line="252" w:lineRule="auto"/>
        <w:ind w:left="1365" w:right="1362"/>
        <w:jc w:val="center"/>
        <w:rPr>
          <w:rFonts w:ascii="Times New Roman" w:eastAsia="Times New Roman" w:hAnsi="Times New Roman" w:cs="Times New Roman"/>
          <w:b/>
        </w:rPr>
      </w:pPr>
      <w:r>
        <w:rPr>
          <w:rFonts w:ascii="Times New Roman" w:eastAsia="Times New Roman" w:hAnsi="Times New Roman" w:cs="Times New Roman"/>
          <w:b/>
        </w:rPr>
        <w:t>ABSTRACT</w:t>
      </w:r>
    </w:p>
    <w:p w14:paraId="08F55B57" w14:textId="0240E63E" w:rsidR="006250EF" w:rsidRDefault="00B35142" w:rsidP="00B35142">
      <w:pPr>
        <w:widowControl w:val="0"/>
        <w:spacing w:before="3" w:after="0" w:line="253" w:lineRule="auto"/>
        <w:jc w:val="both"/>
        <w:rPr>
          <w:rFonts w:ascii="Times New Roman" w:eastAsia="Times New Roman" w:hAnsi="Times New Roman" w:cs="Times New Roman"/>
        </w:rPr>
      </w:pPr>
      <w:r w:rsidRPr="00AA2642">
        <w:rPr>
          <w:rFonts w:ascii="Times New Roman" w:hAnsi="Times New Roman" w:cs="Times New Roman"/>
        </w:rPr>
        <w:t>Cultural competence training has emerged as a critical strategy for improving healthcare delivery in increasingly diverse societies. This systematic review evaluates the impact of structured cultural competence interventions on key domains including doctor–patient communication, patient satisfaction, health equity, and cost-effectiveness. Drawing on evidence from peer-reviewed studies published between 2000 and 2024, the analysis identifies consistent improvements in clinical interactions, with enhanced cultural awareness, reduced implicit bias, and increased empathy among healthcare providers. Effective implementation strategies include experiential learning, digital platforms, mentorship, and integration into medical education and accreditation standards. Despite demonstrated benefits, challenges persist, such as inconsistent program design, limited evaluation frameworks, and insufficient institutional support for long-term integration. The findings underscore the need for standardized competency benchmarks, longitudinal training models, and policy alignment to ensure sustainability. When effectively implemented, cultural competence training contributes to equitable, patient-centered care by addressing systemic disparities and fostering trust in healthcare institutions. This review provides actionable insights for policymakers, educators, and healthcare leaders aiming to enhance service quality and inclusivity</w:t>
      </w:r>
      <w:r>
        <w:rPr>
          <w:rFonts w:ascii="Times New Roman" w:hAnsi="Times New Roman" w:cs="Times New Roman"/>
        </w:rPr>
        <w:t xml:space="preserve"> across multicultural settings</w:t>
      </w:r>
      <w:r w:rsidR="00EE1D06">
        <w:rPr>
          <w:rFonts w:ascii="Times New Roman" w:eastAsia="Times New Roman" w:hAnsi="Times New Roman" w:cs="Times New Roman"/>
        </w:rPr>
        <w:t>.</w:t>
      </w:r>
    </w:p>
    <w:p w14:paraId="47BDCF9A" w14:textId="77777777" w:rsidR="006250EF" w:rsidRDefault="006250EF">
      <w:pPr>
        <w:widowControl w:val="0"/>
        <w:spacing w:before="6" w:after="0" w:line="240" w:lineRule="auto"/>
        <w:rPr>
          <w:rFonts w:ascii="Times New Roman" w:eastAsia="Times New Roman" w:hAnsi="Times New Roman" w:cs="Times New Roman"/>
        </w:rPr>
      </w:pPr>
    </w:p>
    <w:p w14:paraId="57D22D39" w14:textId="67D6D1FC" w:rsidR="006250EF" w:rsidRDefault="00B35142" w:rsidP="00B35142">
      <w:pPr>
        <w:widowControl w:val="0"/>
        <w:spacing w:after="120" w:line="240" w:lineRule="auto"/>
        <w:ind w:left="1366" w:right="1361"/>
        <w:jc w:val="center"/>
        <w:rPr>
          <w:rFonts w:ascii="Times New Roman" w:eastAsia="Times New Roman" w:hAnsi="Times New Roman" w:cs="Times New Roman"/>
          <w:b/>
        </w:rPr>
      </w:pPr>
      <w:r>
        <w:rPr>
          <w:rFonts w:ascii="Times New Roman" w:eastAsia="Times New Roman" w:hAnsi="Times New Roman" w:cs="Times New Roman"/>
          <w:b/>
        </w:rPr>
        <w:t>KEYWORDS</w:t>
      </w:r>
    </w:p>
    <w:p w14:paraId="7FFD990C" w14:textId="621ED46E" w:rsidR="004801DF" w:rsidRDefault="00B35142" w:rsidP="00B35142">
      <w:pPr>
        <w:widowControl w:val="0"/>
        <w:spacing w:after="0" w:line="252" w:lineRule="auto"/>
        <w:rPr>
          <w:rFonts w:ascii="Times New Roman" w:eastAsia="Times New Roman" w:hAnsi="Times New Roman" w:cs="Times New Roman"/>
        </w:rPr>
      </w:pPr>
      <w:r w:rsidRPr="00AA2642">
        <w:rPr>
          <w:rFonts w:ascii="Times New Roman" w:hAnsi="Times New Roman" w:cs="Times New Roman"/>
        </w:rPr>
        <w:t>Cultural competence, Healthcare delivery, Patient satisfaction, Health equity, Training intervention</w:t>
      </w:r>
    </w:p>
    <w:p w14:paraId="53C868DC" w14:textId="77777777" w:rsidR="00B35142" w:rsidRDefault="00B35142" w:rsidP="00B35142">
      <w:pPr>
        <w:widowControl w:val="0"/>
        <w:spacing w:after="0" w:line="252" w:lineRule="auto"/>
        <w:ind w:left="220"/>
        <w:rPr>
          <w:rFonts w:ascii="Times New Roman" w:eastAsia="Times New Roman" w:hAnsi="Times New Roman" w:cs="Times New Roman"/>
        </w:rPr>
      </w:pPr>
    </w:p>
    <w:tbl>
      <w:tblPr>
        <w:tblStyle w:val="GridTable1Light-Accent1"/>
        <w:tblW w:w="8905" w:type="dxa"/>
        <w:tblBorders>
          <w:top w:val="single" w:sz="18" w:space="0" w:color="4F81BD" w:themeColor="accent1"/>
          <w:left w:val="none" w:sz="0" w:space="0" w:color="auto"/>
          <w:bottom w:val="single" w:sz="18" w:space="0" w:color="4F81BD" w:themeColor="accent1"/>
          <w:right w:val="none" w:sz="0" w:space="0" w:color="auto"/>
          <w:insideV w:val="none" w:sz="0" w:space="0" w:color="auto"/>
        </w:tblBorders>
        <w:tblLook w:val="04A0" w:firstRow="1" w:lastRow="0" w:firstColumn="1" w:lastColumn="0" w:noHBand="0" w:noVBand="1"/>
      </w:tblPr>
      <w:tblGrid>
        <w:gridCol w:w="3020"/>
        <w:gridCol w:w="4715"/>
        <w:gridCol w:w="1170"/>
      </w:tblGrid>
      <w:tr w:rsidR="004801DF" w14:paraId="47488637" w14:textId="77777777" w:rsidTr="00F12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none" w:sz="0" w:space="0" w:color="auto"/>
            </w:tcBorders>
          </w:tcPr>
          <w:p w14:paraId="3EE54D8E" w14:textId="77777777" w:rsidR="004801DF" w:rsidRPr="00C3324B" w:rsidRDefault="004801DF" w:rsidP="00F12977">
            <w:pPr>
              <w:widowControl w:val="0"/>
              <w:spacing w:before="6"/>
              <w:rPr>
                <w:rFonts w:ascii="Times New Roman" w:eastAsia="Times New Roman" w:hAnsi="Times New Roman" w:cs="Times New Roman"/>
                <w:i/>
                <w:sz w:val="20"/>
              </w:rPr>
            </w:pPr>
            <w:r w:rsidRPr="00C3324B">
              <w:rPr>
                <w:rFonts w:ascii="Times New Roman" w:eastAsia="Times New Roman" w:hAnsi="Times New Roman" w:cs="Times New Roman"/>
                <w:i/>
                <w:sz w:val="20"/>
              </w:rPr>
              <w:t xml:space="preserve">Received: </w:t>
            </w:r>
          </w:p>
          <w:p w14:paraId="7DDD2583" w14:textId="77777777" w:rsidR="004801DF" w:rsidRPr="00C3324B" w:rsidRDefault="004801DF" w:rsidP="00F12977">
            <w:pPr>
              <w:widowControl w:val="0"/>
              <w:spacing w:before="6"/>
              <w:rPr>
                <w:rFonts w:ascii="Times New Roman" w:eastAsia="Times New Roman" w:hAnsi="Times New Roman" w:cs="Times New Roman"/>
                <w:i/>
                <w:sz w:val="20"/>
              </w:rPr>
            </w:pPr>
            <w:r w:rsidRPr="00C3324B">
              <w:rPr>
                <w:rFonts w:ascii="Times New Roman" w:eastAsia="Times New Roman" w:hAnsi="Times New Roman" w:cs="Times New Roman"/>
                <w:i/>
                <w:sz w:val="20"/>
              </w:rPr>
              <w:t>Revised:</w:t>
            </w:r>
          </w:p>
          <w:p w14:paraId="27F50622" w14:textId="77777777" w:rsidR="004801DF" w:rsidRPr="00DC368E" w:rsidRDefault="004801DF" w:rsidP="00F12977">
            <w:pPr>
              <w:widowControl w:val="0"/>
              <w:spacing w:before="6"/>
              <w:rPr>
                <w:rFonts w:ascii="Times New Roman" w:eastAsia="Times New Roman" w:hAnsi="Times New Roman" w:cs="Times New Roman"/>
                <w:b w:val="0"/>
                <w:i/>
              </w:rPr>
            </w:pPr>
            <w:r w:rsidRPr="00C3324B">
              <w:rPr>
                <w:rFonts w:ascii="Times New Roman" w:eastAsia="Times New Roman" w:hAnsi="Times New Roman" w:cs="Times New Roman"/>
                <w:i/>
                <w:sz w:val="20"/>
              </w:rPr>
              <w:t>Accepted:</w:t>
            </w:r>
          </w:p>
        </w:tc>
        <w:tc>
          <w:tcPr>
            <w:tcW w:w="4715" w:type="dxa"/>
            <w:tcBorders>
              <w:bottom w:val="none" w:sz="0" w:space="0" w:color="auto"/>
            </w:tcBorders>
          </w:tcPr>
          <w:p w14:paraId="7DF8FD6C" w14:textId="77777777" w:rsidR="004801DF" w:rsidRPr="00FD67D3" w:rsidRDefault="004801DF" w:rsidP="00F12977">
            <w:pPr>
              <w:widowControl w:val="0"/>
              <w:spacing w:before="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rPr>
            </w:pPr>
            <w:r w:rsidRPr="00C3324B">
              <w:rPr>
                <w:rFonts w:ascii="Times New Roman" w:eastAsia="Times New Roman" w:hAnsi="Times New Roman" w:cs="Times New Roman"/>
                <w:i/>
                <w:sz w:val="20"/>
              </w:rPr>
              <w:t>How to c</w:t>
            </w:r>
            <w:r>
              <w:rPr>
                <w:rFonts w:ascii="Times New Roman" w:eastAsia="Times New Roman" w:hAnsi="Times New Roman" w:cs="Times New Roman"/>
                <w:i/>
                <w:sz w:val="20"/>
              </w:rPr>
              <w:t xml:space="preserve">ite: </w:t>
            </w:r>
            <w:r w:rsidRPr="00FD67D3">
              <w:rPr>
                <w:rFonts w:ascii="Times New Roman" w:eastAsia="Times New Roman" w:hAnsi="Times New Roman" w:cs="Times New Roman"/>
                <w:b w:val="0"/>
                <w:i/>
                <w:sz w:val="20"/>
              </w:rPr>
              <w:t>Last name, first author’s name, last name, second author’s name. (2023). Article</w:t>
            </w:r>
          </w:p>
          <w:p w14:paraId="541F057B" w14:textId="5A828202" w:rsidR="004801DF" w:rsidRDefault="004801DF" w:rsidP="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D67D3">
              <w:rPr>
                <w:rFonts w:ascii="Times New Roman" w:eastAsia="Times New Roman" w:hAnsi="Times New Roman" w:cs="Times New Roman"/>
                <w:b w:val="0"/>
                <w:i/>
                <w:sz w:val="20"/>
              </w:rPr>
              <w:t xml:space="preserve">tittle. </w:t>
            </w:r>
            <w:r w:rsidR="00F87CD1" w:rsidRPr="007D4326">
              <w:rPr>
                <w:rFonts w:ascii="Times New Roman" w:hAnsi="Times New Roman" w:cs="Times New Roman"/>
                <w:b w:val="0"/>
                <w:i/>
                <w:iCs/>
                <w:sz w:val="20"/>
                <w:szCs w:val="20"/>
              </w:rPr>
              <w:t>Heal Front A Multidiscip J Heal Prof</w:t>
            </w:r>
            <w:r w:rsidR="00F87CD1">
              <w:rPr>
                <w:rFonts w:ascii="Times New Roman" w:hAnsi="Times New Roman" w:cs="Times New Roman"/>
                <w:b w:val="0"/>
                <w:i/>
                <w:iCs/>
                <w:sz w:val="20"/>
                <w:szCs w:val="20"/>
              </w:rPr>
              <w:t>.</w:t>
            </w:r>
            <w:r w:rsidRPr="00FD67D3">
              <w:rPr>
                <w:rFonts w:ascii="Times New Roman" w:eastAsia="Times New Roman" w:hAnsi="Times New Roman" w:cs="Times New Roman"/>
                <w:b w:val="0"/>
                <w:i/>
                <w:sz w:val="20"/>
              </w:rPr>
              <w:t>1(1): 1-10.</w:t>
            </w:r>
          </w:p>
        </w:tc>
        <w:tc>
          <w:tcPr>
            <w:tcW w:w="1170" w:type="dxa"/>
            <w:tcBorders>
              <w:bottom w:val="none" w:sz="0" w:space="0" w:color="auto"/>
            </w:tcBorders>
          </w:tcPr>
          <w:p w14:paraId="4522133B" w14:textId="77777777" w:rsidR="004801DF" w:rsidRDefault="004801DF" w:rsidP="00F12977">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E508A8" wp14:editId="50215FC4">
                  <wp:extent cx="504825" cy="504825"/>
                  <wp:effectExtent l="0" t="0" r="9525" b="9525"/>
                  <wp:docPr id="1" name="Picture 1" descr="C:\Users\Windows 10\AppData\Local\Microsoft\Windows\INetCache\Content.Word\download (1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 10\AppData\Local\Microsoft\Windows\INetCache\Content.Word\download (16).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bl>
    <w:p w14:paraId="10301A30" w14:textId="77777777" w:rsidR="004801DF" w:rsidRDefault="004801DF" w:rsidP="00B35142">
      <w:pPr>
        <w:widowControl w:val="0"/>
        <w:spacing w:after="0" w:line="252" w:lineRule="auto"/>
        <w:rPr>
          <w:rFonts w:ascii="Times New Roman" w:eastAsia="Times New Roman" w:hAnsi="Times New Roman" w:cs="Times New Roman"/>
        </w:rPr>
      </w:pPr>
    </w:p>
    <w:p w14:paraId="2069641A" w14:textId="77777777" w:rsidR="006250EF" w:rsidRDefault="006250EF">
      <w:pPr>
        <w:widowControl w:val="0"/>
        <w:spacing w:before="6" w:after="0" w:line="240" w:lineRule="auto"/>
        <w:rPr>
          <w:rFonts w:ascii="Times New Roman" w:eastAsia="Times New Roman" w:hAnsi="Times New Roman" w:cs="Times New Roman"/>
        </w:rPr>
      </w:pPr>
    </w:p>
    <w:p w14:paraId="063209EC" w14:textId="11039824"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I</w:t>
      </w:r>
      <w:r w:rsidR="00B35142">
        <w:rPr>
          <w:rFonts w:ascii="Times New Roman" w:eastAsia="Times New Roman" w:hAnsi="Times New Roman" w:cs="Times New Roman"/>
          <w:b/>
        </w:rPr>
        <w:t xml:space="preserve">NTRODUCTION </w:t>
      </w:r>
    </w:p>
    <w:p w14:paraId="37E493EB" w14:textId="5DA329D8" w:rsidR="00B35142" w:rsidRPr="006E4A6F" w:rsidRDefault="00B35142" w:rsidP="00B35142">
      <w:pPr>
        <w:jc w:val="both"/>
        <w:rPr>
          <w:rFonts w:ascii="Times New Roman" w:hAnsi="Times New Roman" w:cs="Times New Roman"/>
        </w:rPr>
      </w:pPr>
      <w:r w:rsidRPr="006E4A6F">
        <w:rPr>
          <w:rFonts w:ascii="Times New Roman" w:hAnsi="Times New Roman" w:cs="Times New Roman"/>
        </w:rPr>
        <w:t>In the past decade, much research has focused on the critical role of cultural competence in healthcare delivery, particularly as societies become increasingly diverse due to globalization, migration, and demograp</w:t>
      </w:r>
      <w:r>
        <w:rPr>
          <w:rFonts w:ascii="Times New Roman" w:hAnsi="Times New Roman" w:cs="Times New Roman"/>
        </w:rPr>
        <w:t xml:space="preserve">hic shifts. Cultural competence </w:t>
      </w:r>
      <w:r w:rsidRPr="006E4A6F">
        <w:rPr>
          <w:rFonts w:ascii="Times New Roman" w:hAnsi="Times New Roman" w:cs="Times New Roman"/>
        </w:rPr>
        <w:t>defined as the ability of healthcare providers to effectively deliver care that meets the social, cultural, a</w:t>
      </w:r>
      <w:r>
        <w:rPr>
          <w:rFonts w:ascii="Times New Roman" w:hAnsi="Times New Roman" w:cs="Times New Roman"/>
        </w:rPr>
        <w:t xml:space="preserve">nd linguistic needs of patients </w:t>
      </w:r>
      <w:r w:rsidRPr="006E4A6F">
        <w:rPr>
          <w:rFonts w:ascii="Times New Roman" w:hAnsi="Times New Roman" w:cs="Times New Roman"/>
        </w:rPr>
        <w:t>has emerged as a cornerstone strategy for improving communication, enhancing patient satisfaction, and reducing health disparities</w:t>
      </w:r>
      <w:r w:rsidR="00861A37">
        <w:rPr>
          <w:rFonts w:ascii="Times New Roman" w:hAnsi="Times New Roman" w:cs="Times New Roman"/>
        </w:rPr>
        <w:fldChar w:fldCharType="begin" w:fldLock="1"/>
      </w:r>
      <w:r w:rsidR="00861A37">
        <w:rPr>
          <w:rFonts w:ascii="Times New Roman" w:hAnsi="Times New Roman" w:cs="Times New Roman"/>
        </w:rPr>
        <w:instrText>ADDIN CSL_CITATION {"citationItems":[{"id":"ITEM-1","itemData":{"author":[{"dropping-particle":"","family":"Cipta","given":"D","non-dropping-particle":"","parse-names":false,"suffix":""},{"dropping-particle":"","family":"Andoko","given":"D","non-dropping-particle":"","parse-names":false,"suffix":""},{"dropping-particle":"","family":"Theja","given":"A","non-dropping-particle":"","parse-names":false,"suffix":""},{"dropping-particle":"","family":"Utama","given":"A V E","non-dropping-particle":"","parse-names":false,"suffix":""},{"dropping-particle":"","family":"Hendrik","given":"H","non-dropping-particle":"","parse-names":false,"suffix":""},{"dropping-particle":"","family":"William","given":"D","non-dropping-particle":"","parse-names":false,"suffix":""},{"dropping-particle":"","family":"Reina","given":"N","non-dropping-particle":"","parse-names":false,"suffix":""},{"dropping-particle":"","family":"Handoko","given":"M","non-dropping-particle":"","parse-names":false,"suffix":""},{"dropping-particle":"","family":"Lumbuun","given":"N","non-dropping-particle":"","parse-names":false,"suffix":""},{"dropping-particle":"","family":"Papadakis","given":"Sophia","non-dropping-particle":"","parse-names":false,"suffix":""},{"dropping-particle":"","family":"Anastasiou","given":"F","non-dropping-particle":"","parse-names":false,"suffix":""},{"dropping-particle":"","family":"Cipta","given":"D","non-dropping-particle":"","parse-names":false,"suffix":""},{"dropping-particle":"","family":"Ave","given":"Utama","non-dropping-particle":"","parse-names":false,"suffix":""},{"dropping-particle":"","family":"William","given":"D","non-dropping-particle":"","parse-names":false,"suffix":""},{"dropping-particle":"","family":"Handoko","given":"M","non-dropping-particle":"","parse-names":false,"suffix":""}],"container-title":"Frontiers in Medicine","id":"ITEM-1","issued":{"date-parts":[["2024"]]},"title":"Culturally sensitive patient-centered healthcare: a focus on health behavior modification in low and middle-income nations—insights from Indonesia","type":"article-journal"},"uris":["http://www.mendeley.com/documents/?uuid=21090f21-b2b2-4dea-b1c7-18365cbb3051"]},{"id":"ITEM-2","itemData":{"author":[{"dropping-particle":"","family":"Okolo","given":"Chioma Anthonia","non-dropping-particle":"","parse-names":false,"suffix":""},{"dropping-particle":"","family":"Olorunsogo","given":"Tolulope O","non-dropping-particle":"","parse-names":false,"suffix":""},{"dropping-particle":"","family":"Babawarun","given":"Oloruntoba","non-dropping-particle":"","parse-names":false,"suffix":""}],"container-title":"International Journal of Science and Research Archive","id":"ITEM-2","issued":{"date-parts":[["2024"]]},"title":"Cultural variability in pain perception: A review of cross-cultural studies","type":"article-journal"},"uris":["http://www.mendeley.com/documents/?uuid=b51fca3d-c189-47d1-9cc5-3cbab03557a7"]},{"id":"ITEM-3","itemData":{"author":[{"dropping-particle":"","family":"Mishra","given":"Shiraz I","non-dropping-particle":"","parse-names":false,"suffix":""},{"dropping-particle":"","family":"Adsul","given":"P","non-dropping-particle":"","parse-names":false,"suffix":""},{"dropping-particle":"","family":"Leekity","given":"Samantha","non-dropping-particle":"","parse-names":false,"suffix":""},{"dropping-particle":"","family":"Rodman","given":"Joseph","non-dropping-particle":"","parse-names":false,"suffix":""},{"dropping-particle":"","family":"Sussman","given":"A","non-dropping-particle":"","parse-names":false,"suffix":""},{"dropping-particle":"","family":"Kelly","given":"Keith E","non-dropping-particle":"","parse-names":false,"suffix":""},{"dropping-particle":"","family":"Sheche","given":"Judith","non-dropping-particle":"","parse-names":false,"suffix":""},{"dropping-particle":"","family":"Faber","given":"T","non-dropping-particle":"","parse-names":false,"suffix":""},{"dropping-particle":"","family":"Shah","given":"V","non-dropping-particle":"","parse-names":false,"suffix":""}],"container-title":"Cancer Causes and Control","id":"ITEM-3","issued":{"date-parts":[["2023"]]},"title":"A culturally informed model to enhance breast, cervical, and colorectal cancer screenings: perspectives of American Indian adults and healthcare providers in rural New Mexico","type":"article-journal"},"uris":["http://www.mendeley.com/documents/?uuid=d24088a2-05b4-4764-aa47-d75bcace1878"]}],"mendeley":{"formattedCitation":"(Cipta et al., 2024; Mishra et al., 2023; Okolo et al., 2024)","plainTextFormattedCitation":"(Cipta et al., 2024; Mishra et al., 2023; Okolo et al., 2024)","previouslyFormattedCitation":"(Cipta et al., 2024; Mishra et al., 2023; Okolo et al., 2024)"},"properties":{"noteIndex":0},"schema":"https://github.com/citation-style-language/schema/raw/master/csl-citation.json"}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(Cipta et al., 2024; Mishra et al., 2023; Okolo et al., 2024)</w:t>
      </w:r>
      <w:r w:rsidR="00861A37">
        <w:rPr>
          <w:rFonts w:ascii="Times New Roman" w:hAnsi="Times New Roman" w:cs="Times New Roman"/>
        </w:rPr>
        <w:fldChar w:fldCharType="end"/>
      </w:r>
      <w:r w:rsidRPr="006E4A6F">
        <w:rPr>
          <w:rFonts w:ascii="Times New Roman" w:hAnsi="Times New Roman" w:cs="Times New Roman"/>
        </w:rPr>
        <w:t xml:space="preserve">. Numerous studies have </w:t>
      </w:r>
      <w:r w:rsidRPr="006E4A6F">
        <w:rPr>
          <w:rFonts w:ascii="Times New Roman" w:hAnsi="Times New Roman" w:cs="Times New Roman"/>
        </w:rPr>
        <w:lastRenderedPageBreak/>
        <w:t>demonstrated its potential to transform clinical interactions by fostering mutual respect, minimizing bias, and promoting equitable treatment across racial, ethnic, and socioeconomic groups</w:t>
      </w:r>
      <w:r w:rsidR="00861A37">
        <w:rPr>
          <w:rFonts w:ascii="Times New Roman" w:hAnsi="Times New Roman" w:cs="Times New Roman"/>
        </w:rPr>
        <w:fldChar w:fldCharType="begin" w:fldLock="1"/>
      </w:r>
      <w:r w:rsidR="00861A37">
        <w:rPr>
          <w:rFonts w:ascii="Times New Roman" w:hAnsi="Times New Roman" w:cs="Times New Roman"/>
        </w:rPr>
        <w:instrText>ADDIN CSL_CITATION {"citationItems":[{"id":"ITEM-1","itemData":{"author":[{"dropping-particle":"","family":"Razzaq","given":"Nasir","non-dropping-particle":"","parse-names":false,"suffix":""},{"dropping-particle":"","family":"Khan","given":"Eesha Farzeen","non-dropping-particle":"","parse-names":false,"suffix":""},{"dropping-particle":"","family":"Razzaq","given":"Salma","non-dropping-particle":"","parse-names":false,"suffix":""}],"container-title":"Annals of Innovation in Medicine","id":"ITEM-1","issued":{"date-parts":[["2023"]]},"title":"Analyzing the Role of Language and Religion in Culturally Competent Healthcare: An Interdisciplinary Perspective","type":"article-journal"},"uris":["http://www.mendeley.com/documents/?uuid=816b58a6-4a15-4d69-922c-128aee71b56e"]}],"mendeley":{"formattedCitation":"(Razzaq et al., 2023)","plainTextFormattedCitation":"(Razzaq et al., 2023)","previouslyFormattedCitation":"(Razzaq et al., 2023)"},"properties":{"noteIndex":0},"schema":"https://github.com/citation-style-language/schema/raw/master/csl-citation.json"}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(Razzaq et al., 2023)</w:t>
      </w:r>
      <w:r w:rsidR="00861A37">
        <w:rPr>
          <w:rFonts w:ascii="Times New Roman" w:hAnsi="Times New Roman" w:cs="Times New Roman"/>
        </w:rPr>
        <w:fldChar w:fldCharType="end"/>
      </w:r>
      <w:r w:rsidRPr="006E4A6F">
        <w:rPr>
          <w:rFonts w:ascii="Times New Roman" w:hAnsi="Times New Roman" w:cs="Times New Roman"/>
        </w:rPr>
        <w:t>. Moreover, frameworks such as the Consolidated Framework for Implementation Research (CFIR) and Normalization Process Theory (NPT) have been instrumental in understanding how such interventions can be effectively integrated into healthcare systems</w:t>
      </w:r>
      <w:r w:rsidR="00861A37">
        <w:rPr>
          <w:rFonts w:ascii="Times New Roman" w:hAnsi="Times New Roman" w:cs="Times New Roman"/>
        </w:rPr>
        <w:fldChar w:fldCharType="begin" w:fldLock="1"/>
      </w:r>
      <w:r w:rsidR="00861A37">
        <w:rPr>
          <w:rFonts w:ascii="Times New Roman" w:hAnsi="Times New Roman" w:cs="Times New Roman"/>
        </w:rPr>
        <w:instrText>ADDIN CSL_CITATION {"citationItems":[{"id":"ITEM-1","itemData":{"author":[{"dropping-particle":"","family":"Swaby","given":"Micah E","non-dropping-particle":"","parse-names":false,"suffix":""},{"dropping-particle":"","family":"Anyimadu","given":"Genevieve","non-dropping-particle":"","parse-names":false,"suffix":""},{"dropping-particle":"","family":"Choshi","given":"Modjadji","non-dropping-particle":"","parse-names":false,"suffix":""},{"dropping-particle":"","family":"Belsare","given":"Prajakta","non-dropping-particle":"","parse-names":false,"suffix":""}],"container-title":"Cureus","id":"ITEM-1","issued":{"date-parts":[["2025"]]},"title":"A Mixed-Methods Analysis and Personal Narratives of Black Maternal Health Experiences in the American Healthcare System","type":"article-journal"},"uris":["http://www.mendeley.com/documents/?uuid=d967b411-0d24-4cd0-aa7c-ddc29f646d57"]},{"id":"ITEM-2","itemData":{"author":[{"dropping-particle":"","family":"Lurgain","given":"Jone G","non-dropping-particle":"","parse-names":false,"suffix":""},{"dropping-particle":"","family":"Ouaarab-Essadek","given":"Hakima","non-dropping-particle":"","parse-names":false,"suffix":""},{"dropping-particle":"","family":"Mellouki","given":"Khadija","non-dropping-particle":"","parse-names":false,"suffix":""},{"dropping-particle":"","family":"Malik-Hameed","given":"Sumaira","non-dropping-particle":"","parse-names":false,"suffix":""},{"dropping-particle":"","family":"Sarif","given":"Andleed","non-dropping-particle":"","parse-names":false,"suffix":""},{"dropping-particle":"","family":"Bruni","given":"Laia","non-dropping-particle":"","parse-names":false,"suffix":""},{"dropping-particle":"","family":"Rangel-Sarmiento","given":"Valentina","non-dropping-particle":"","parse-names":false,"suffix":""},{"dropping-particle":"","family":"Peremiquel-Trillas","given":"Paula","non-dropping-particle":"","parse-names":false,"suffix":""}],"container-title":"International Journal for Equity in Health","id":"ITEM-2","issued":{"date-parts":[["2024"]]},"title":"Exploring cultural competence barriers in the primary care sexual and reproductive health centres in Catalonia, Spain: perspectives from immigrant women and healthcare providers","type":"article-journal"},"uris":["http://www.mendeley.com/documents/?uuid=be51d76e-a0fa-4c9d-b94d-6f7b0360d60f"]}],"mendeley":{"formattedCitation":"(Lurgain et al., 2024; Swaby et al., 2025)","plainTextFormattedCitation":"(Lurgain et al., 2024; Swaby et al., 2025)","previouslyFormattedCitation":"(Lurgain et al., 2024; Swaby et al., 2025)"},"properties":{"noteIndex":0},"schema":"https://github.com/citation-style-language/schema/raw/master/csl-citation.json"}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(Lurgain et al., 2024; Swaby et al., 2025)</w:t>
      </w:r>
      <w:r w:rsidR="00861A37">
        <w:rPr>
          <w:rFonts w:ascii="Times New Roman" w:hAnsi="Times New Roman" w:cs="Times New Roman"/>
        </w:rPr>
        <w:fldChar w:fldCharType="end"/>
      </w:r>
      <w:r w:rsidRPr="006E4A6F">
        <w:rPr>
          <w:rFonts w:ascii="Times New Roman" w:hAnsi="Times New Roman" w:cs="Times New Roman"/>
        </w:rPr>
        <w:t>. Despite this growing body of evidence, there remains a pressing need to consolidate findings and identify best practices that ensure sustainable implementation across varied healthcare settings.</w:t>
      </w:r>
    </w:p>
    <w:p w14:paraId="570B6374" w14:textId="70DF54EE" w:rsidR="00B35142" w:rsidRPr="006E4A6F" w:rsidRDefault="00B35142" w:rsidP="00B35142">
      <w:pPr>
        <w:jc w:val="both"/>
        <w:rPr>
          <w:rFonts w:ascii="Times New Roman" w:hAnsi="Times New Roman" w:cs="Times New Roman"/>
        </w:rPr>
      </w:pPr>
      <w:r w:rsidRPr="006E4A6F">
        <w:rPr>
          <w:rFonts w:ascii="Times New Roman" w:hAnsi="Times New Roman" w:cs="Times New Roman"/>
        </w:rPr>
        <w:t>While cultural competence training has gained traction as an essential component of medical education and professional development, it remains unclear why some interventions yield lasting behavioral change while others fail to produce measurable improvements in patient outcomes</w:t>
      </w:r>
      <w:r w:rsidR="00861A37">
        <w:rPr>
          <w:rFonts w:ascii="Times New Roman" w:hAnsi="Times New Roman" w:cs="Times New Roman"/>
        </w:rPr>
        <w:fldChar w:fldCharType="begin" w:fldLock="1"/>
      </w:r>
      <w:r w:rsidR="00861A37">
        <w:rPr>
          <w:rFonts w:ascii="Times New Roman" w:hAnsi="Times New Roman" w:cs="Times New Roman"/>
        </w:rPr>
        <w:instrText>ADDIN CSL_CITATION {"citationItems":[{"id":"ITEM-1","itemData":{"author":[{"dropping-particle":"","family":"Shorey","given":"S","non-dropping-particle":"","parse-names":false,"suffix":""},{"dropping-particle":"","family":"Ng","given":"E D","non-dropping-particle":"","parse-names":false,"suffix":""},{"dropping-particle":"","family":"Downe","given":"S","non-dropping-particle":"","parse-names":false,"suffix":""}],"container-title":"Birth","id":"ITEM-1","issued":{"date-parts":[["2021"]]},"title":"Cultural competence and experiences of maternity health care providers on care for migrant women: A qualitative meta-synthesis.","type":"article-journal"},"uris":["http://www.mendeley.com/documents/?uuid=cc6fcc77-7202-48f7-8081-e898077127d0"]}],"mendeley":{"formattedCitation":"(Shorey et al., 2021)","plainTextFormattedCitation":"(Shorey et al., 2021)","previouslyFormattedCitation":"(Shorey et al., 2021)"},"properties":{"noteIndex":0},"schema":"https://github.com/citation-style-language/schema/raw/master/csl-citation.json"}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(Shorey et al., 2021)</w:t>
      </w:r>
      <w:r w:rsidR="00861A37">
        <w:rPr>
          <w:rFonts w:ascii="Times New Roman" w:hAnsi="Times New Roman" w:cs="Times New Roman"/>
        </w:rPr>
        <w:fldChar w:fldCharType="end"/>
      </w:r>
      <w:r w:rsidRPr="006E4A6F">
        <w:rPr>
          <w:rFonts w:ascii="Times New Roman" w:hAnsi="Times New Roman" w:cs="Times New Roman"/>
        </w:rPr>
        <w:t>. Many existing programs suffer from inconsistencies in content, duration, and evaluation methods, leading to fragmented implementation and limited scalability. Additionally, gaps persist in unders</w:t>
      </w:r>
      <w:r>
        <w:rPr>
          <w:rFonts w:ascii="Times New Roman" w:hAnsi="Times New Roman" w:cs="Times New Roman"/>
        </w:rPr>
        <w:t xml:space="preserve">tanding how specific mechanisms </w:t>
      </w:r>
      <w:r w:rsidRPr="006E4A6F">
        <w:rPr>
          <w:rFonts w:ascii="Times New Roman" w:hAnsi="Times New Roman" w:cs="Times New Roman"/>
        </w:rPr>
        <w:t>such as enhanced empathy, reduced i</w:t>
      </w:r>
      <w:r>
        <w:rPr>
          <w:rFonts w:ascii="Times New Roman" w:hAnsi="Times New Roman" w:cs="Times New Roman"/>
        </w:rPr>
        <w:t xml:space="preserve">mplicit bias, or improved trust </w:t>
      </w:r>
      <w:r w:rsidRPr="006E4A6F">
        <w:rPr>
          <w:rFonts w:ascii="Times New Roman" w:hAnsi="Times New Roman" w:cs="Times New Roman"/>
        </w:rPr>
        <w:t>translate into tangible healthcare benefits over time</w:t>
      </w:r>
      <w:r w:rsidR="00861A37">
        <w:rPr>
          <w:rFonts w:ascii="Times New Roman" w:hAnsi="Times New Roman" w:cs="Times New Roman"/>
        </w:rPr>
        <w:fldChar w:fldCharType="begin" w:fldLock="1"/>
      </w:r>
      <w:r w:rsidR="00861A37">
        <w:rPr>
          <w:rFonts w:ascii="Times New Roman" w:hAnsi="Times New Roman" w:cs="Times New Roman"/>
        </w:rPr>
        <w:instrText>ADDIN CSL_CITATION {"citationItems":[{"id":"ITEM-1","itemData":{"author":[{"dropping-particle":"","family":"Rosen","given":"Bruce","non-dropping-particle":"","parse-names":false,"suffix":""},{"dropping-particle":"","family":"Miaari","given":"Sami","non-dropping-particle":"","parse-names":false,"suffix":""}],"container-title":"Israel Journal of Health Policy Research","id":"ITEM-1","issued":{"date-parts":[["2025"]]},"title":"Arab representation in Israeli healthcare professions: achievements, challenges and opportunities","type":"article-journal"},"uris":["http://www.mendeley.com/documents/?uuid=e204aaab-aabb-4d39-8413-255263e356e4"]}],"mendeley":{"formattedCitation":"(Rosen &amp; Miaari, 2025)","plainTextFormattedCitation":"(Rosen &amp; Miaari, 2025)","previouslyFormattedCitation":"(Rosen &amp; Miaari, 2025)"},"properties":{"noteIndex":0},"schema":"https://github.com/citation-style-language/schema/raw/master/csl-citation.json"}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(Rosen &amp; Miaari, 2025)</w:t>
      </w:r>
      <w:r w:rsidR="00861A37">
        <w:rPr>
          <w:rFonts w:ascii="Times New Roman" w:hAnsi="Times New Roman" w:cs="Times New Roman"/>
        </w:rPr>
        <w:fldChar w:fldCharType="end"/>
      </w:r>
      <w:r w:rsidRPr="006E4A6F">
        <w:rPr>
          <w:rFonts w:ascii="Times New Roman" w:hAnsi="Times New Roman" w:cs="Times New Roman"/>
        </w:rPr>
        <w:t>. Although previous reviews have explored short-term effects of training, fewer have systematically examined long-term impacts, cost-effectiveness, and institutional integration strategies necessary for embedding cultural competence into routine practice</w:t>
      </w:r>
      <w:r w:rsidR="00861A37">
        <w:rPr>
          <w:rFonts w:ascii="Times New Roman" w:hAnsi="Times New Roman" w:cs="Times New Roman"/>
        </w:rPr>
        <w:fldChar w:fldCharType="begin" w:fldLock="1"/>
      </w:r>
      <w:r w:rsidR="004C3819">
        <w:rPr>
          <w:rFonts w:ascii="Times New Roman" w:hAnsi="Times New Roman" w:cs="Times New Roman"/>
        </w:rPr>
        <w:instrText>ADDIN CSL_CITATION {"citationItems":[{"id":"ITEM-1","itemData":{"author":[{"dropping-particle":"","family":"Das","given":"Soumitra","non-dropping-particle":"","parse-names":false,"suffix":""},{"dropping-particle":"","family":"Chatterjee","given":"Seshadri Sekhar","non-dropping-particle":"","parse-names":false,"suffix":""}],"container-title":"Encyclopedia","id":"ITEM-1","issued":{"date-parts":[["2025"]]},"title":"Examining and Working Across Differences—Older People from Culturally and Linguistically Diverse Backgrounds in Australia","type":"article-journal"},"uris":["http://www.mendeley.com/documents/?uuid=f8f7183d-4a8f-4c22-97d3-f9a02d2adcde"]},{"id":"ITEM-2","itemData":{"author":[{"dropping-particle":"","family":"Wang","given":"Chen","non-dropping-particle":"","parse-names":false,"suffix":""},{"dropping-particle":"","family":"Hou","given":"X","non-dropping-particle":"","parse-names":false,"suffix":""},{"dropping-particle":"","family":"Khawaja","given":"N","non-dropping-particle":"","parse-names":false,"suffix":""},{"dropping-particle":"","family":"Dunne","given":"M","non-dropping-particle":"","parse-names":false,"suffix":""},{"dropping-particle":"","family":"Shakespeare‐Finch","given":"J","non-dropping-particle":"","parse-names":false,"suffix":""}],"container-title":"International Journal of Environmental Research and Public Health","id":"ITEM-2","issued":{"date-parts":[["2021"]]},"title":"Improvement in the Cognitive Aspects of Cultural Competence after Short-Term Overseas Study Programs","type":"article-journal"},"uris":["http://www.mendeley.com/documents/?uuid=dd767a17-c6b3-41f6-9289-b1b16255ceda"]}],"mendeley":{"formattedCitation":"(Das &amp; Chatterjee, 2025; Wang et al., 2021)","plainTextFormattedCitation":"(Das &amp; Chatterjee, 2025; Wang et al., 2021)","previouslyFormattedCitation":"(Das &amp; Chatterjee, 2025; Wang et al., 2021)"},"properties":{"noteIndex":0},"schema":"https://github.com/citation-style-language/schema/raw/master/csl-citation.json"}</w:instrText>
      </w:r>
      <w:r w:rsidR="00861A37">
        <w:rPr>
          <w:rFonts w:ascii="Times New Roman" w:hAnsi="Times New Roman" w:cs="Times New Roman"/>
        </w:rPr>
        <w:fldChar w:fldCharType="separate"/>
      </w:r>
      <w:r w:rsidR="00861A37" w:rsidRPr="00861A37">
        <w:rPr>
          <w:rFonts w:ascii="Times New Roman" w:hAnsi="Times New Roman" w:cs="Times New Roman"/>
          <w:noProof/>
        </w:rPr>
        <w:t>(Das &amp; Chatterjee, 2025; Wang et al., 2021)</w:t>
      </w:r>
      <w:r w:rsidR="00861A37">
        <w:rPr>
          <w:rFonts w:ascii="Times New Roman" w:hAnsi="Times New Roman" w:cs="Times New Roman"/>
        </w:rPr>
        <w:fldChar w:fldCharType="end"/>
      </w:r>
      <w:r w:rsidRPr="006E4A6F">
        <w:rPr>
          <w:rFonts w:ascii="Times New Roman" w:hAnsi="Times New Roman" w:cs="Times New Roman"/>
        </w:rPr>
        <w:t>. This lack of clarity hinders widespread adoption and limits the field’s ability to develop standardi</w:t>
      </w:r>
      <w:r>
        <w:rPr>
          <w:rFonts w:ascii="Times New Roman" w:hAnsi="Times New Roman" w:cs="Times New Roman"/>
        </w:rPr>
        <w:t>zed, evidence-based guidelines.</w:t>
      </w:r>
    </w:p>
    <w:p w14:paraId="53C62392" w14:textId="435B21A4" w:rsidR="00B35142" w:rsidRDefault="00B35142" w:rsidP="00B35142">
      <w:pPr>
        <w:jc w:val="both"/>
        <w:rPr>
          <w:rFonts w:ascii="Times New Roman" w:hAnsi="Times New Roman" w:cs="Times New Roman"/>
        </w:rPr>
      </w:pPr>
      <w:r w:rsidRPr="006E4A6F">
        <w:rPr>
          <w:rFonts w:ascii="Times New Roman" w:hAnsi="Times New Roman" w:cs="Times New Roman"/>
        </w:rPr>
        <w:t>The purpose of this study was to conduct a systematic review and qualitative synthesis to evaluate the impact of cultural competence training on key domains of healthcare delivery, including doctor–patient communication, patient satisfaction, health equity, and sustainability</w:t>
      </w:r>
      <w:r w:rsidR="004C3819">
        <w:rPr>
          <w:rFonts w:ascii="Times New Roman" w:hAnsi="Times New Roman" w:cs="Times New Roman"/>
        </w:rPr>
        <w:fldChar w:fldCharType="begin" w:fldLock="1"/>
      </w:r>
      <w:r w:rsidR="004C3819">
        <w:rPr>
          <w:rFonts w:ascii="Times New Roman" w:hAnsi="Times New Roman" w:cs="Times New Roman"/>
        </w:rPr>
        <w:instrText>ADDIN CSL_CITATION {"citationItems":[{"id":"ITEM-1","itemData":{"author":[{"dropping-particle":"","family":"Doričić","given":"Robert","non-dropping-particle":"","parse-names":false,"suffix":""},{"dropping-particle":"","family":"Orzechowski","given":"M","non-dropping-particle":"","parse-names":false,"suffix":""},{"dropping-particle":"","family":"Nowak","given":"M","non-dropping-particle":"","parse-names":false,"suffix":""},{"dropping-particle":"","family":"Grokša","given":"Ivana Tutić","non-dropping-particle":"","parse-names":false,"suffix":""},{"dropping-particle":"","family":"Bielińska","given":"Katarzyna","non-dropping-particle":"","parse-names":false,"suffix":""},{"dropping-particle":"","family":"Chowaniec","given":"A","non-dropping-particle":"","parse-names":false,"suffix":""},{"dropping-particle":"","family":"Ramšak","given":"M","non-dropping-particle":"","parse-names":false,"suffix":""},{"dropping-particle":"","family":"Łuków","given":"Paweł","non-dropping-particle":"","parse-names":false,"suffix":""},{"dropping-particle":"","family":"Muzur","given":"A","non-dropping-particle":"","parse-names":false,"suffix":""},{"dropping-particle":"","family":"Zupanič-Slavec","given":"Z","non-dropping-particle":"","parse-names":false,"suffix":""},{"dropping-particle":"","family":"Steger","given":"Florian","non-dropping-particle":"","parse-names":false,"suffix":""}],"container-title":"International Journal of Environmental Research and Public Health","id":"ITEM-1","issued":{"date-parts":[["2021"]]},"title":"Diversity Competency and Access to Healthcare in Hospitals in Croatia, Germany, Poland, and Slovenia","type":"article-journal"},"uris":["http://www.mendeley.com/documents/?uuid=ecf08969-af40-4e0f-ac40-821a438e08cf"]},{"id":"ITEM-2","itemData":{"author":[{"dropping-particle":"","family":"Cipta","given":"D","non-dropping-particle":"","parse-names":false,"suffix":""},{"dropping-particle":"","family":"Andoko","given":"D","non-dropping-particle":"","parse-names":false,"suffix":""},{"dropping-particle":"","family":"Theja","given":"A","non-dropping-particle":"","parse-names":false,"suffix":""},{"dropping-particle":"","family":"Utama","given":"A V E","non-dropping-particle":"","parse-names":false,"suffix":""},{"dropping-particle":"","family":"Hendrik","given":"H","non-dropping-particle":"","parse-names":false,"suffix":""},{"dropping-particle":"","family":"William","given":"D","non-dropping-particle":"","parse-names":false,"suffix":""},{"dropping-particle":"","family":"Reina","given":"N","non-dropping-particle":"","parse-names":false,"suffix":""},{"dropping-particle":"","family":"Handoko","given":"M","non-dropping-particle":"","parse-names":false,"suffix":""},{"dropping-particle":"","family":"Lumbuun","given":"N","non-dropping-particle":"","parse-names":false,"suffix":""},{"dropping-particle":"","family":"Papadakis","given":"Sophia","non-dropping-particle":"","parse-names":false,"suffix":""},{"dropping-particle":"","family":"Anastasiou","given":"F","non-dropping-particle":"","parse-names":false,"suffix":""},{"dropping-particle":"","family":"Cipta","given":"D","non-dropping-particle":"","parse-names":false,"suffix":""},{"dropping-particle":"","family":"Ave","given":"Utama","non-dropping-particle":"","parse-names":false,"suffix":""},{"dropping-particle":"","family":"William","given":"D","non-dropping-particle":"","parse-names":false,"suffix":""},{"dropping-particle":"","family":"Handoko","given":"M","non-dropping-particle":"","parse-names":false,"suffix":""}],"container-title":"Frontiers in Medicine","id":"ITEM-2","issued":{"date-parts":[["2024"]]},"title":"Culturally sensitive patient-centered healthcare: a focus on health behavior modification in low and middle-income nations—insights from Indonesia","type":"article-journal"},"uris":["http://www.mendeley.com/documents/?uuid=21090f21-b2b2-4dea-b1c7-18365cbb3051"]}],"mendeley":{"formattedCitation":"(Cipta et al., 2024; Doričić et al., 2021)","plainTextFormattedCitation":"(Cipta et al., 2024; Doričić et al., 2021)","previouslyFormattedCitation":"(Cipta et al., 2024; Doričić et al., 2021)"},"properties":{"noteIndex":0},"schema":"https://github.com/citation-style-language/schema/raw/master/csl-citation.json"}</w:instrText>
      </w:r>
      <w:r w:rsidR="004C3819">
        <w:rPr>
          <w:rFonts w:ascii="Times New Roman" w:hAnsi="Times New Roman" w:cs="Times New Roman"/>
        </w:rPr>
        <w:fldChar w:fldCharType="separate"/>
      </w:r>
      <w:r w:rsidR="004C3819" w:rsidRPr="004C3819">
        <w:rPr>
          <w:rFonts w:ascii="Times New Roman" w:hAnsi="Times New Roman" w:cs="Times New Roman"/>
          <w:noProof/>
        </w:rPr>
        <w:t>(Cipta et al., 2024; Doričić et al., 2021)</w:t>
      </w:r>
      <w:r w:rsidR="004C3819">
        <w:rPr>
          <w:rFonts w:ascii="Times New Roman" w:hAnsi="Times New Roman" w:cs="Times New Roman"/>
        </w:rPr>
        <w:fldChar w:fldCharType="end"/>
      </w:r>
      <w:r w:rsidRPr="006E4A6F">
        <w:rPr>
          <w:rFonts w:ascii="Times New Roman" w:hAnsi="Times New Roman" w:cs="Times New Roman"/>
        </w:rPr>
        <w:t>. By applying rigorous methodological standards aligned with PRISMA 2020 guidelines and integrating implementation science frameworks such as CFIR and the Behavior Change Wheel (BCW), this research aims to bridge critical knowledge gaps and provide a comprehensive analysis of both the outcomes and mechanisms driving successful interventions</w:t>
      </w:r>
      <w:r w:rsidR="004C3819">
        <w:rPr>
          <w:rFonts w:ascii="Times New Roman" w:hAnsi="Times New Roman" w:cs="Times New Roman"/>
        </w:rPr>
        <w:fldChar w:fldCharType="begin" w:fldLock="1"/>
      </w:r>
      <w:r w:rsidR="00CE7767">
        <w:rPr>
          <w:rFonts w:ascii="Times New Roman" w:hAnsi="Times New Roman" w:cs="Times New Roman"/>
        </w:rPr>
        <w:instrText>ADDIN CSL_CITATION {"citationItems":[{"id":"ITEM-1","itemData":{"author":[{"dropping-particle":"","family":"Odeny","given":"Beryne","non-dropping-particle":"","parse-names":false,"suffix":""}],"container-title":"PLoS Medicine","id":"ITEM-1","issued":{"date-parts":[["2021"]]},"title":"Closing the health equity gap: A role for implementation science?","type":"article-journal"},"uris":["http://www.mendeley.com/documents/?uuid=802aab8d-a6d9-405d-ad2a-edcd2cbb321d"]},{"id":"ITEM-2","itemData":{"author":[{"dropping-particle":"","family":"Woodward","given":"Eva N","non-dropping-particle":"","parse-names":false,"suffix":""},{"dropping-particle":"","family":"Matthieu","given":"Monica M","non-dropping-particle":"","parse-names":false,"suffix":""},{"dropping-particle":"","family":"Uchendu","given":"Uchenna S","non-dropping-particle":"","parse-names":false,"suffix":""},{"dropping-particle":"","family":"Rogal","given":"Shari","non-dropping-particle":"","parse-names":false,"suffix":""},{"dropping-particle":"","family":"Kirchner","given":"JoAnn E","non-dropping-particle":"","parse-names":false,"suffix":""}],"container-title":"Implementation Science","id":"ITEM-2","issued":{"date-parts":[["2019"]]},"title":"The health equity implementation framework: proposal and preliminary study of hepatitis C virus treatment","type":"article-journal"},"uris":["http://www.mendeley.com/documents/?uuid=4dca2017-212d-4a0e-9e0c-8b737da1c575"]},{"id":"ITEM-3","itemData":{"author":[{"dropping-particle":"","family":"Rodrigues","given":"Isabel B","non-dropping-particle":"","parse-names":false,"suffix":""},{"dropping-particle":"","family":"Fahim","given":"Christine","non-dropping-particle":"","parse-names":false,"suffix":""},{"dropping-particle":"","family":"Garad","given":"Y","non-dropping-particle":"","parse-names":false,"suffix":""},{"dropping-particle":"","family":"Presseau","given":"Justin","non-dropping-particle":"","parse-names":false,"suffix":""},{"dropping-particle":"","family":"Hoens","given":"Alison M","non-dropping-particle":"","parse-names":false,"suffix":""},{"dropping-particle":"","family":"Braimoh","given":"Jessica","non-dropping-particle":"","parse-names":false,"suffix":""},{"dropping-particle":"","family":"Duncan","given":"Diane","non-dropping-particle":"","parse-names":false,"suffix":""},{"dropping-particle":"","family":"Bruyn-Martin","given":"Lora","non-dropping-particle":"","parse-names":false,"suffix":""},{"dropping-particle":"","family":"Straus","given":"Sharon E","non-dropping-particle":"","parse-names":false,"suffix":""}],"container-title":"BMC Medical Research Methodology","id":"ITEM-3","issued":{"date-parts":[["2023"]]},"title":"Developing the intersectionality supplemented Consolidated Framework for Implementation Research (CFIR) and tools for intersectionality considerations","type":"article-journal"},"uris":["http://www.mendeley.com/documents/?uuid=7064457b-81a8-4a09-960c-484140ba72b3"]}],"mendeley":{"formattedCitation":"(Odeny, 2021; Rodrigues et al., 2023; Woodward et al., 2019)","plainTextFormattedCitation":"(Odeny, 2021; Rodrigues et al., 2023; Woodward et al., 2019)","previouslyFormattedCitation":"(Odeny, 2021; Rodrigues et al., 2023; Woodward et al., 2019)"},"properties":{"noteIndex":0},"schema":"https://github.com/citation-style-language/schema/raw/master/csl-citation.json"}</w:instrText>
      </w:r>
      <w:r w:rsidR="004C3819">
        <w:rPr>
          <w:rFonts w:ascii="Times New Roman" w:hAnsi="Times New Roman" w:cs="Times New Roman"/>
        </w:rPr>
        <w:fldChar w:fldCharType="separate"/>
      </w:r>
      <w:r w:rsidR="004C3819" w:rsidRPr="004C3819">
        <w:rPr>
          <w:rFonts w:ascii="Times New Roman" w:hAnsi="Times New Roman" w:cs="Times New Roman"/>
          <w:noProof/>
        </w:rPr>
        <w:t>(Odeny, 2021; Rodrigues et al., 2023; Woodward et al., 2019)</w:t>
      </w:r>
      <w:r w:rsidR="004C3819">
        <w:rPr>
          <w:rFonts w:ascii="Times New Roman" w:hAnsi="Times New Roman" w:cs="Times New Roman"/>
        </w:rPr>
        <w:fldChar w:fldCharType="end"/>
      </w:r>
      <w:r w:rsidRPr="006E4A6F">
        <w:rPr>
          <w:rFonts w:ascii="Times New Roman" w:hAnsi="Times New Roman" w:cs="Times New Roman"/>
        </w:rPr>
        <w:t>. Furthermore, the study outlines practical implications for policymakers, educators, and healthcare leaders seeking to advance equity and improve the quality of care</w:t>
      </w:r>
      <w:r>
        <w:rPr>
          <w:rFonts w:ascii="Times New Roman" w:hAnsi="Times New Roman" w:cs="Times New Roman"/>
        </w:rPr>
        <w:t xml:space="preserve"> in multicultural environments</w:t>
      </w:r>
      <w:r w:rsidR="00CE7767">
        <w:rPr>
          <w:rFonts w:ascii="Times New Roman" w:hAnsi="Times New Roman" w:cs="Times New Roman"/>
        </w:rPr>
        <w:fldChar w:fldCharType="begin" w:fldLock="1"/>
      </w:r>
      <w:r w:rsidR="00CE7767">
        <w:rPr>
          <w:rFonts w:ascii="Times New Roman" w:hAnsi="Times New Roman" w:cs="Times New Roman"/>
        </w:rPr>
        <w:instrText>ADDIN CSL_CITATION {"citationItems":[{"id":"ITEM-1","itemData":{"author":[{"dropping-particle":"","family":"Micheal","given":"Sowbhagya","non-dropping-particle":"","parse-names":false,"suffix":""},{"dropping-particle":"","family":"Ogbeide","given":"A","non-dropping-particle":"","parse-names":false,"suffix":""},{"dropping-particle":"","family":"Arora","given":"A","non-dropping-particle":"","parse-names":false,"suffix":""},{"dropping-particle":"","family":"Alford","given":"Stewart","non-dropping-particle":"","parse-names":false,"suffix":""},{"dropping-particle":"","family":"Firdaus","given":"Rubab","non-dropping-particle":"","parse-names":false,"suffix":""},{"dropping-particle":"","family":"Lim","given":"David","non-dropping-particle":"","parse-names":false,"suffix":""},{"dropping-particle":"","family":"Dune","given":"T","non-dropping-particle":"","parse-names":false,"suffix":""}],"container-title":"International Journal of Environmental Research and Public Health","id":"ITEM-1","issued":{"date-parts":[["2021"]]},"title":"Exploring Tertiary Health Science Student Willingness or Resistance to Cultural Competency and Safety Pedagogy","type":"article-journal"},"uris":["http://www.mendeley.com/documents/?uuid=53b560a6-b2ef-4f30-bd94-394f8d7bcd52"]}],"mendeley":{"formattedCitation":"(Micheal et al., 2021)","plainTextFormattedCitation":"(Micheal et al., 2021)","previouslyFormattedCitation":"(Micheal et al., 2021)"},"properties":{"noteIndex":0},"schema":"https://github.com/citation-style-language/schema/raw/master/csl-citation.json"}</w:instrText>
      </w:r>
      <w:r w:rsidR="00CE7767">
        <w:rPr>
          <w:rFonts w:ascii="Times New Roman" w:hAnsi="Times New Roman" w:cs="Times New Roman"/>
        </w:rPr>
        <w:fldChar w:fldCharType="separate"/>
      </w:r>
      <w:r w:rsidR="00CE7767" w:rsidRPr="00CE7767">
        <w:rPr>
          <w:rFonts w:ascii="Times New Roman" w:hAnsi="Times New Roman" w:cs="Times New Roman"/>
          <w:noProof/>
        </w:rPr>
        <w:t>(Micheal et al., 2021)</w:t>
      </w:r>
      <w:r w:rsidR="00CE7767">
        <w:rPr>
          <w:rFonts w:ascii="Times New Roman" w:hAnsi="Times New Roman" w:cs="Times New Roman"/>
        </w:rPr>
        <w:fldChar w:fldCharType="end"/>
      </w:r>
      <w:r>
        <w:rPr>
          <w:rFonts w:ascii="Times New Roman" w:hAnsi="Times New Roman" w:cs="Times New Roman"/>
        </w:rPr>
        <w:t>.</w:t>
      </w:r>
    </w:p>
    <w:p w14:paraId="49207AAE" w14:textId="414AD886" w:rsidR="006250EF" w:rsidRPr="00B35142" w:rsidRDefault="00B35142" w:rsidP="00B35142">
      <w:pPr>
        <w:jc w:val="both"/>
        <w:rPr>
          <w:rFonts w:ascii="Times New Roman" w:hAnsi="Times New Roman" w:cs="Times New Roman"/>
        </w:rPr>
      </w:pPr>
      <w:r w:rsidRPr="006E4A6F">
        <w:rPr>
          <w:rFonts w:ascii="Times New Roman" w:hAnsi="Times New Roman" w:cs="Times New Roman"/>
        </w:rPr>
        <w:t>This research will also announce the principal findings related to how structured training influences provider behavior, reduces disparities, and supports cost-effective service delivery. It highlights effective implementatio</w:t>
      </w:r>
      <w:r>
        <w:rPr>
          <w:rFonts w:ascii="Times New Roman" w:hAnsi="Times New Roman" w:cs="Times New Roman"/>
        </w:rPr>
        <w:t xml:space="preserve">n strategies at multiple levels </w:t>
      </w:r>
      <w:r w:rsidRPr="006E4A6F">
        <w:rPr>
          <w:rFonts w:ascii="Times New Roman" w:hAnsi="Times New Roman" w:cs="Times New Roman"/>
        </w:rPr>
        <w:t>educational,</w:t>
      </w:r>
      <w:r>
        <w:rPr>
          <w:rFonts w:ascii="Times New Roman" w:hAnsi="Times New Roman" w:cs="Times New Roman"/>
        </w:rPr>
        <w:t xml:space="preserve"> organizational, and structural </w:t>
      </w:r>
      <w:r w:rsidRPr="006E4A6F">
        <w:rPr>
          <w:rFonts w:ascii="Times New Roman" w:hAnsi="Times New Roman" w:cs="Times New Roman"/>
        </w:rPr>
        <w:t>that are essential for embedding cultural competence into both individual practice and institutional culture</w:t>
      </w:r>
      <w:r w:rsidR="00CE7767">
        <w:rPr>
          <w:rFonts w:ascii="Times New Roman" w:hAnsi="Times New Roman" w:cs="Times New Roman"/>
        </w:rPr>
        <w:fldChar w:fldCharType="begin" w:fldLock="1"/>
      </w:r>
      <w:r w:rsidR="00CE7767">
        <w:rPr>
          <w:rFonts w:ascii="Times New Roman" w:hAnsi="Times New Roman" w:cs="Times New Roman"/>
        </w:rPr>
        <w:instrText>ADDIN CSL_CITATION {"citationItems":[{"id":"ITEM-1","itemData":{"author":[{"dropping-particle":"","family":"Vandecasteele","given":"Robin","non-dropping-particle":"","parse-names":false,"suffix":""},{"dropping-particle":"","family":"Robijn","given":"Lenzo","non-dropping-particle":"","parse-names":false,"suffix":""},{"dropping-particle":"","family":"Willems","given":"Sara","non-dropping-particle":"","parse-names":false,"suffix":""},{"dropping-particle":"De","family":"Maesschalck","given":"Stéphanie","non-dropping-particle":"","parse-names":false,"suffix":""},{"dropping-particle":"","family":"Stevens","given":"Peter A J","non-dropping-particle":"","parse-names":false,"suffix":""}],"container-title":"BMC Primary Care","id":"ITEM-1","issued":{"date-parts":[["2024"]]},"title":"Barriers and facilitators to culturally sensitive care in general practice: a reflexive thematic analysis","type":"article-journal"},"uris":["http://www.mendeley.com/documents/?uuid=4198cf0c-52ee-40e6-9ab6-339646784055"]},{"id":"ITEM-2","itemData":{"author":[{"dropping-particle":"","family":"Marek","given":"E","non-dropping-particle":"","parse-names":false,"suffix":""},{"dropping-particle":"","family":"Németh","given":"Tímea","non-dropping-particle":"","parse-names":false,"suffix":""}],"container-title":"Orvosi Hetilap","id":"ITEM-2","issued":{"date-parts":[["2020"]]},"title":"Intercultural competence in healthcare","type":"article-journal"},"uris":["http://www.mendeley.com/documents/?uuid=9ed0d6f6-294e-41a7-bdb5-823f32cc9532"]}],"mendeley":{"formattedCitation":"(Marek &amp; Németh, 2020; Vandecasteele et al., 2024)","plainTextFormattedCitation":"(Marek &amp; Németh, 2020; Vandecasteele et al., 2024)","previouslyFormattedCitation":"(Marek &amp; Németh, 2020; Vandecasteele et al., 2024)"},"properties":{"noteIndex":0},"schema":"https://github.com/citation-style-language/schema/raw/master/csl-citation.json"}</w:instrText>
      </w:r>
      <w:r w:rsidR="00CE7767">
        <w:rPr>
          <w:rFonts w:ascii="Times New Roman" w:hAnsi="Times New Roman" w:cs="Times New Roman"/>
        </w:rPr>
        <w:fldChar w:fldCharType="separate"/>
      </w:r>
      <w:r w:rsidR="00CE7767" w:rsidRPr="00CE7767">
        <w:rPr>
          <w:rFonts w:ascii="Times New Roman" w:hAnsi="Times New Roman" w:cs="Times New Roman"/>
          <w:noProof/>
        </w:rPr>
        <w:t>(Marek &amp; Németh, 2020; Vandecasteele et al., 2024)</w:t>
      </w:r>
      <w:r w:rsidR="00CE7767">
        <w:rPr>
          <w:rFonts w:ascii="Times New Roman" w:hAnsi="Times New Roman" w:cs="Times New Roman"/>
        </w:rPr>
        <w:fldChar w:fldCharType="end"/>
      </w:r>
      <w:r w:rsidRPr="006E4A6F">
        <w:rPr>
          <w:rFonts w:ascii="Times New Roman" w:hAnsi="Times New Roman" w:cs="Times New Roman"/>
        </w:rPr>
        <w:t>. The review concludes with recommendations for future research, emphasizing the need for longitudinal studies, comparative effectiveness analyses, and robust economic evaluations. Ultimately, this study contributes to a deeper understanding of how cultural competence can be systematically developed, assessed, and sustained to meet the evolving demands of modern healthcare systems</w:t>
      </w:r>
      <w:r w:rsidR="00CE7767">
        <w:rPr>
          <w:rFonts w:ascii="Times New Roman" w:hAnsi="Times New Roman" w:cs="Times New Roman"/>
        </w:rPr>
        <w:fldChar w:fldCharType="begin" w:fldLock="1"/>
      </w:r>
      <w:r w:rsidR="00CE7767">
        <w:rPr>
          <w:rFonts w:ascii="Times New Roman" w:hAnsi="Times New Roman" w:cs="Times New Roman"/>
        </w:rPr>
        <w:instrText>ADDIN CSL_CITATION {"citationItems":[{"id":"ITEM-1","itemData":{"author":[{"dropping-particle":"","family":"Flynn","given":"P","non-dropping-particle":"","parse-names":false,"suffix":""},{"dropping-particle":"","family":"Betancourt","given":"Hector M","non-dropping-particle":"","parse-names":false,"suffix":""},{"dropping-particle":"","family":"Emerson","given":"N","non-dropping-particle":"","parse-names":false,"suffix":""},{"dropping-particle":"","family":"Núñez","given":"Esmeralda","non-dropping-particle":"","parse-names":false,"suffix":""},{"dropping-particle":"","family":"Nance","given":"Connor M","non-dropping-particle":"","parse-names":false,"suffix":""}],"container-title":"Cultural diversity &amp; ethnic minority psychology","id":"ITEM-1","issued":{"date-parts":[["2019"]]},"title":"Health professional cultural competence reduces the psychological and behavioral impact of negative healthcare encounters.","type":"article-journal"},"uris":["http://www.mendeley.com/documents/?uuid=03406fcb-c027-46e9-86bb-1ef63fa95b64"]},{"id":"ITEM-2","itemData":{"author":[{"dropping-particle":"","family":"Marek","given":"E","non-dropping-particle":"","parse-names":false,"suffix":""},{"dropping-particle":"","family":"Németh","given":"Tímea","non-dropping-particle":"","parse-names":false,"suffix":""}],"container-title":"Orvosi Hetilap","id":"ITEM-2","issued":{"date-parts":[["2020"]]},"title":"Intercultural competence in healthcare","type":"article-journal"},"uris":["http://www.mendeley.com/documents/?uuid=9ed0d6f6-294e-41a7-bdb5-823f32cc9532"]},{"id":"ITEM-3","itemData":{"author":[{"dropping-particle":"","family":"Ogunlana","given":"M","non-dropping-particle":"","parse-names":false,"suffix":""},{"dropping-particle":"","family":"Oyewole","given":"O","non-dropping-particle":"","parse-names":false,"suffix":""},{"dropping-particle":"","family":"Aderonmu","given":"Joseph A","non-dropping-particle":"","parse-names":false,"suffix":""},{"dropping-particle":"","family":"Onyeso","given":"O K","non-dropping-particle":"","parse-names":false,"suffix":""},{"dropping-particle":"","family":"Faloye","given":"Ayobamigbe Y","non-dropping-particle":"","parse-names":false,"suffix":""},{"dropping-particle":"","family":"Govender","given":"P","non-dropping-particle":"","parse-names":false,"suffix":""}],"container-title":"BMC Medical Education","id":"ITEM-3","issued":{"date-parts":[["2023"]]},"title":"Patterns and predictors of cultural competence practice among Nigerian hospital-based healthcare professionals","type":"article-journal"},"uris":["http://www.mendeley.com/documents/?uuid=9e468bdb-806a-4791-96c6-0f70609faf86"]}],"mendeley":{"formattedCitation":"(Flynn et al., 2019; Marek &amp; Németh, 2020; Ogunlana et al., 2023)","plainTextFormattedCitation":"(Flynn et al., 2019; Marek &amp; Németh, 2020; Ogunlana et al., 2023)","previouslyFormattedCitation":"(Flynn et al., 2019; Marek &amp; Németh, 2020; Ogunlana et al., 2023)"},"properties":{"noteIndex":0},"schema":"https://github.com/citation-style-language/schema/raw/master/csl-citation.json"}</w:instrText>
      </w:r>
      <w:r w:rsidR="00CE7767">
        <w:rPr>
          <w:rFonts w:ascii="Times New Roman" w:hAnsi="Times New Roman" w:cs="Times New Roman"/>
        </w:rPr>
        <w:fldChar w:fldCharType="separate"/>
      </w:r>
      <w:r w:rsidR="00CE7767" w:rsidRPr="00CE7767">
        <w:rPr>
          <w:rFonts w:ascii="Times New Roman" w:hAnsi="Times New Roman" w:cs="Times New Roman"/>
          <w:noProof/>
        </w:rPr>
        <w:t>(Flynn et al., 2019; Marek &amp; Németh, 2020; Ogunlana et al., 2023)</w:t>
      </w:r>
      <w:r w:rsidR="00CE7767">
        <w:rPr>
          <w:rFonts w:ascii="Times New Roman" w:hAnsi="Times New Roman" w:cs="Times New Roman"/>
        </w:rPr>
        <w:fldChar w:fldCharType="end"/>
      </w:r>
      <w:r w:rsidRPr="006E4A6F">
        <w:rPr>
          <w:rFonts w:ascii="Times New Roman" w:hAnsi="Times New Roman" w:cs="Times New Roman"/>
        </w:rPr>
        <w:t>.</w:t>
      </w:r>
    </w:p>
    <w:p w14:paraId="0E2D6725" w14:textId="77777777" w:rsidR="006250EF" w:rsidRDefault="006250EF">
      <w:pPr>
        <w:widowControl w:val="0"/>
        <w:spacing w:before="10" w:after="0" w:line="240" w:lineRule="auto"/>
        <w:rPr>
          <w:rFonts w:ascii="Times New Roman" w:eastAsia="Times New Roman" w:hAnsi="Times New Roman" w:cs="Times New Roman"/>
        </w:rPr>
      </w:pPr>
    </w:p>
    <w:p w14:paraId="7EDAB9E0" w14:textId="0A15D75C" w:rsidR="006250EF" w:rsidRDefault="00EE1D06">
      <w:pPr>
        <w:widowControl w:val="0"/>
        <w:spacing w:after="0" w:line="240" w:lineRule="auto"/>
        <w:ind w:left="1365" w:right="1359"/>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MATERIALS </w:t>
      </w:r>
      <w:r w:rsidR="00B35142">
        <w:rPr>
          <w:rFonts w:ascii="Times New Roman" w:eastAsia="Times New Roman" w:hAnsi="Times New Roman" w:cs="Times New Roman"/>
          <w:b/>
        </w:rPr>
        <w:t xml:space="preserve">AND METHODS </w:t>
      </w:r>
    </w:p>
    <w:p w14:paraId="3BC7C770" w14:textId="77777777" w:rsidR="00B35142" w:rsidRPr="00262AD4" w:rsidRDefault="00B35142" w:rsidP="00B35142">
      <w:pPr>
        <w:rPr>
          <w:rFonts w:ascii="Times New Roman" w:hAnsi="Times New Roman" w:cs="Times New Roman"/>
          <w:b/>
        </w:rPr>
      </w:pPr>
      <w:r>
        <w:rPr>
          <w:rFonts w:ascii="Times New Roman" w:hAnsi="Times New Roman" w:cs="Times New Roman"/>
          <w:b/>
        </w:rPr>
        <w:t>Study Design</w:t>
      </w:r>
    </w:p>
    <w:p w14:paraId="7A3AFA7C"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This study adopted a systematic review and qualitative synthesis approach to evaluate the impact of cultural competence training on healthcare delivery outcomes. The methodological framework was aligned with the Preferred Reporting Items for Systematic Reviews and Meta-Analyses (PRISMA) 2020 guidelines, ensuring transparency, reproducibility, and rigor throughout the research process. To contextualize the implementation dynamics of such interventions, the Consolidated Framework for Implementation Research (CFIR) was integrated into the analysis. The primary objective was to investigate how structured cultural competence training influences key domains of healthcare delivery, including doctor–patient communication, patient satisfaction, health equity, cost-effectiveness, and long-term sustainability.</w:t>
      </w:r>
    </w:p>
    <w:p w14:paraId="43A86F57" w14:textId="77777777" w:rsidR="00B35142" w:rsidRPr="00262AD4" w:rsidRDefault="00B35142" w:rsidP="00B35142">
      <w:pPr>
        <w:rPr>
          <w:rFonts w:ascii="Times New Roman" w:hAnsi="Times New Roman" w:cs="Times New Roman"/>
          <w:b/>
        </w:rPr>
      </w:pPr>
      <w:r w:rsidRPr="00262AD4">
        <w:rPr>
          <w:rFonts w:ascii="Times New Roman" w:hAnsi="Times New Roman" w:cs="Times New Roman"/>
          <w:b/>
        </w:rPr>
        <w:t>D</w:t>
      </w:r>
      <w:r>
        <w:rPr>
          <w:rFonts w:ascii="Times New Roman" w:hAnsi="Times New Roman" w:cs="Times New Roman"/>
          <w:b/>
        </w:rPr>
        <w:t>ata Sources and Search Strategy</w:t>
      </w:r>
    </w:p>
    <w:p w14:paraId="2FC44608"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 xml:space="preserve">A comprehensive and systematic literature search was conducted across multiple electronic databases PubMed, Scopus, CINAHL, PsycINFO, and ERIC to identify peer-reviewed studies published between January 1, 2000, and December 31, 2024. The search strategy was developed using a combination of controlled vocabulary (e.g., MeSH terms) and free-text keywords relevant to the topic, including: </w:t>
      </w:r>
      <w:r>
        <w:rPr>
          <w:rFonts w:ascii="Times New Roman" w:hAnsi="Times New Roman" w:cs="Times New Roman"/>
        </w:rPr>
        <w:t xml:space="preserve">cultural competence, cross-cultural training, health disparities, </w:t>
      </w:r>
      <w:r w:rsidRPr="00262AD4">
        <w:rPr>
          <w:rFonts w:ascii="Times New Roman" w:hAnsi="Times New Roman" w:cs="Times New Roman"/>
        </w:rPr>
        <w:t>patient-</w:t>
      </w:r>
      <w:r>
        <w:rPr>
          <w:rFonts w:ascii="Times New Roman" w:hAnsi="Times New Roman" w:cs="Times New Roman"/>
        </w:rPr>
        <w:t>centered care, communication skills, and healthcare provider education</w:t>
      </w:r>
      <w:r w:rsidRPr="00262AD4">
        <w:rPr>
          <w:rFonts w:ascii="Times New Roman" w:hAnsi="Times New Roman" w:cs="Times New Roman"/>
        </w:rPr>
        <w:t>. Boolean operators (AND, OR) were used to combine search terms effectively, maximizing sensitivity while maintaining specificity. Additionally, manual screening of reference lists from included studies and existing systematic reviews was performed to identify any potentially eligible articles not captured through database searches.</w:t>
      </w:r>
    </w:p>
    <w:p w14:paraId="17BF6A30" w14:textId="77777777" w:rsidR="00B35142" w:rsidRPr="00262AD4" w:rsidRDefault="00B35142" w:rsidP="00B35142">
      <w:pPr>
        <w:rPr>
          <w:rFonts w:ascii="Times New Roman" w:hAnsi="Times New Roman" w:cs="Times New Roman"/>
          <w:b/>
        </w:rPr>
      </w:pPr>
      <w:r w:rsidRPr="00262AD4">
        <w:rPr>
          <w:rFonts w:ascii="Times New Roman" w:hAnsi="Times New Roman" w:cs="Times New Roman"/>
          <w:b/>
        </w:rPr>
        <w:t>I</w:t>
      </w:r>
      <w:r>
        <w:rPr>
          <w:rFonts w:ascii="Times New Roman" w:hAnsi="Times New Roman" w:cs="Times New Roman"/>
          <w:b/>
        </w:rPr>
        <w:t>nclusion and Exclusion Criteria</w:t>
      </w:r>
    </w:p>
    <w:p w14:paraId="25597FA4"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The selection of studies was guided by predefined inclusion and exclusion criteria based on the PICOS framework (Population, Intervention, Comparator, Outcome, Study design). Included studies focused on healthcare providers such as physicians, nurses, and allied health professionals, and evaluated cultural competence training as a core intervention. Studies were required to report measurable outcomes related to communication, patient satisfaction, health equity, or implementation effectiveness. Only peer-reviewed empirical studies quantitative, qualitative, or mixed-method were considered. Excluded were non-English publications, studies not primarily set in healthcare environments, editorials, commentaries, opinion pieces, and studies lacking clear outcome evaluation or original data.</w:t>
      </w:r>
    </w:p>
    <w:p w14:paraId="75828600" w14:textId="77777777" w:rsidR="00B35142" w:rsidRPr="00262AD4" w:rsidRDefault="00B35142" w:rsidP="00B35142">
      <w:pPr>
        <w:rPr>
          <w:rFonts w:ascii="Times New Roman" w:hAnsi="Times New Roman" w:cs="Times New Roman"/>
          <w:b/>
        </w:rPr>
      </w:pPr>
      <w:r>
        <w:rPr>
          <w:rFonts w:ascii="Times New Roman" w:hAnsi="Times New Roman" w:cs="Times New Roman"/>
          <w:b/>
        </w:rPr>
        <w:t>Study Selection Process</w:t>
      </w:r>
    </w:p>
    <w:p w14:paraId="2B5B9C85"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 xml:space="preserve">The selection process followed a two-stage screening procedure. Initially, titles and abstracts were independently reviewed by two researchers to identify potentially relevant studies. Full texts of these shortlisted articles were then retrieved and assessed against the inclusion and exclusion criteria. Any discrepancies between reviewers were resolved through discussion or consultation with a third independent reviewer. A PRISMA flow diagram was developed to visually document the step-by-step </w:t>
      </w:r>
      <w:r w:rsidRPr="00262AD4">
        <w:rPr>
          <w:rFonts w:ascii="Times New Roman" w:hAnsi="Times New Roman" w:cs="Times New Roman"/>
        </w:rPr>
        <w:lastRenderedPageBreak/>
        <w:t>progression of study selection, including reasons for exclusion at the full-text screening stage, in accordance with PRISMA reporting standards.</w:t>
      </w:r>
    </w:p>
    <w:p w14:paraId="74907128" w14:textId="77777777" w:rsidR="00B35142" w:rsidRPr="00262AD4" w:rsidRDefault="00B35142" w:rsidP="00B35142">
      <w:pPr>
        <w:rPr>
          <w:rFonts w:ascii="Times New Roman" w:hAnsi="Times New Roman" w:cs="Times New Roman"/>
          <w:b/>
        </w:rPr>
      </w:pPr>
      <w:r w:rsidRPr="00262AD4">
        <w:rPr>
          <w:rFonts w:ascii="Times New Roman" w:hAnsi="Times New Roman" w:cs="Times New Roman"/>
          <w:b/>
        </w:rPr>
        <w:t>Data Ex</w:t>
      </w:r>
      <w:r>
        <w:rPr>
          <w:rFonts w:ascii="Times New Roman" w:hAnsi="Times New Roman" w:cs="Times New Roman"/>
          <w:b/>
        </w:rPr>
        <w:t>traction and Quality Assessment</w:t>
      </w:r>
    </w:p>
    <w:p w14:paraId="6451F960"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Data extraction was carried out using a standardized, pre-tested form designed to capture key information, including: study design and setting, sample size and participant characteristics, training components (content, duration, mode of delivery), outcome measures and timepoints, reported findings, mechanisms of impact, and implementation strategies. Two independent reviewers conducted the extraction process, with disagreements resolved through consensus or adjudication by a third reviewer. The methodological quality of included studies was assessed using the Mixed Methods Appraisal Tool (MMAT), version 2018, which offers a validated approach for evaluating both quantitative and qualitative research designs. Only studies rated as medium to high quality were retained for the final synthesis to ensure robustness and reliability of findings.</w:t>
      </w:r>
    </w:p>
    <w:p w14:paraId="37D8BCCE" w14:textId="77777777" w:rsidR="00B35142" w:rsidRPr="00262AD4" w:rsidRDefault="00B35142" w:rsidP="00B35142">
      <w:pPr>
        <w:rPr>
          <w:rFonts w:ascii="Times New Roman" w:hAnsi="Times New Roman" w:cs="Times New Roman"/>
          <w:b/>
        </w:rPr>
      </w:pPr>
      <w:r>
        <w:rPr>
          <w:rFonts w:ascii="Times New Roman" w:hAnsi="Times New Roman" w:cs="Times New Roman"/>
          <w:b/>
        </w:rPr>
        <w:t>Thematic Analysis</w:t>
      </w:r>
    </w:p>
    <w:p w14:paraId="10CFF804" w14:textId="77777777" w:rsidR="00B35142" w:rsidRPr="00262AD4" w:rsidRDefault="00B35142" w:rsidP="00B35142">
      <w:pPr>
        <w:jc w:val="both"/>
        <w:rPr>
          <w:rFonts w:ascii="Times New Roman" w:hAnsi="Times New Roman" w:cs="Times New Roman"/>
        </w:rPr>
      </w:pPr>
      <w:r w:rsidRPr="00262AD4">
        <w:rPr>
          <w:rFonts w:ascii="Times New Roman" w:hAnsi="Times New Roman" w:cs="Times New Roman"/>
        </w:rPr>
        <w:t>Qualitative synthesis was conducted using an inductive thematic analysis approach to identify recurring patterns and overarching themes across the included studies. This iterative analytical process began with familiarization with the data, followed by initial coding of key concepts and the identification and refinement of broader thematic categories. Relationships between themes were then mapped to develop a coherent interpretation of the findings. The analysis revealed several distinct outcome areas related to the impact of cultural competence training on healthcare delivery. These include enhancements in doctor–patient communication, increased patient satisfaction, reductions in health disparities, the development of effective training models, considerations around cost-effectiveness, and challenges associated with implementation and long-term sustainability. These themes were further organized into mechanisms of impact and implementation strategies, offering a structured understanding of how cultural competence training influences healthcare systems and clinical practice.</w:t>
      </w:r>
    </w:p>
    <w:p w14:paraId="156A6861" w14:textId="77777777" w:rsidR="00B35142" w:rsidRPr="00262AD4" w:rsidRDefault="00B35142" w:rsidP="00B35142">
      <w:pPr>
        <w:rPr>
          <w:rFonts w:ascii="Times New Roman" w:hAnsi="Times New Roman" w:cs="Times New Roman"/>
          <w:b/>
        </w:rPr>
      </w:pPr>
      <w:r w:rsidRPr="00262AD4">
        <w:rPr>
          <w:rFonts w:ascii="Times New Roman" w:hAnsi="Times New Roman" w:cs="Times New Roman"/>
          <w:b/>
        </w:rPr>
        <w:t>Synthesis of Mechanism</w:t>
      </w:r>
      <w:r>
        <w:rPr>
          <w:rFonts w:ascii="Times New Roman" w:hAnsi="Times New Roman" w:cs="Times New Roman"/>
          <w:b/>
        </w:rPr>
        <w:t>s and Implementation Strategies</w:t>
      </w:r>
    </w:p>
    <w:p w14:paraId="458EE92B" w14:textId="1F0D246D" w:rsidR="00B35142" w:rsidRDefault="00B35142" w:rsidP="00CE7767">
      <w:pPr>
        <w:jc w:val="both"/>
        <w:rPr>
          <w:rStyle w:val="Strong"/>
          <w:rFonts w:ascii="Times New Roman" w:hAnsi="Times New Roman" w:cs="Times New Roman"/>
          <w:b w:val="0"/>
          <w:bCs w:val="0"/>
        </w:rPr>
      </w:pPr>
      <w:r w:rsidRPr="00262AD4">
        <w:rPr>
          <w:rFonts w:ascii="Times New Roman" w:hAnsi="Times New Roman" w:cs="Times New Roman"/>
        </w:rPr>
        <w:t>To better understand the behavioral and organizational changes facilitated by cultural competence training, the study systematically examined the mechanisms through which such interventions generate their effects. Key mechanisms identified include enhanced cultural awareness, a reduction in implicit bias, greater empathy and respect for patients’ backgrounds, and the strengthening of trust and shared decision-making processes between healthcare providers and patients. These mechanisms were analyzed using established theoretical frameworks, specifically the Behavior Change Wheel (BCW) and Normalisation Process Theory (NPT), to provide a conceptual foundation for understanding how training leads to meaningful behavioral change and becomes integrated into routine clinical practice. In terms of implementation, strategies were categorized into three broad levels: educational approaches such as simulation-based learning, mentorship, and digital learning platforms; organizational initiatives including performance evaluations and anti-discrimination policies; and structural interventions like national accreditation standards and community engagement efforts. These multi-level strategies are essential for embedding cultural competence into both individual practice and institutional systems.</w:t>
      </w:r>
    </w:p>
    <w:p w14:paraId="4FFB8D93" w14:textId="77777777" w:rsidR="00B35142" w:rsidRDefault="00B35142" w:rsidP="00B35142">
      <w:pPr>
        <w:spacing w:after="120"/>
        <w:jc w:val="center"/>
        <w:rPr>
          <w:rStyle w:val="Strong"/>
          <w:rFonts w:ascii="Times New Roman" w:hAnsi="Times New Roman" w:cs="Times New Roman"/>
          <w:b w:val="0"/>
          <w:bCs w:val="0"/>
        </w:rPr>
      </w:pPr>
      <w:r>
        <w:rPr>
          <w:rFonts w:ascii="Times New Roman" w:hAnsi="Times New Roman" w:cs="Times New Roman"/>
          <w:noProof/>
        </w:rPr>
        <w:lastRenderedPageBreak/>
        <mc:AlternateContent>
          <mc:Choice Requires="wps">
            <w:drawing>
              <wp:anchor distT="0" distB="0" distL="114300" distR="114300" simplePos="0" relativeHeight="251662336" behindDoc="0" locked="0" layoutInCell="1" allowOverlap="1" wp14:anchorId="1C7D215F" wp14:editId="0775F6CF">
                <wp:simplePos x="0" y="0"/>
                <wp:positionH relativeFrom="column">
                  <wp:posOffset>4437067</wp:posOffset>
                </wp:positionH>
                <wp:positionV relativeFrom="paragraph">
                  <wp:posOffset>18415</wp:posOffset>
                </wp:positionV>
                <wp:extent cx="1056290" cy="599090"/>
                <wp:effectExtent l="0" t="0" r="10795" b="10795"/>
                <wp:wrapNone/>
                <wp:docPr id="7" name="Rounded Rectangle 7"/>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3A3AF2" w14:textId="0EA2F900" w:rsidR="00B35142" w:rsidRPr="00500AFF" w:rsidRDefault="005D2950" w:rsidP="00B35142">
                            <w:pPr>
                              <w:jc w:val="center"/>
                              <w:rPr>
                                <w:sz w:val="56"/>
                                <w:szCs w:val="56"/>
                              </w:rPr>
                            </w:pPr>
                            <w:r>
                              <w:rPr>
                                <w:sz w:val="56"/>
                                <w:szCs w:val="56"/>
                              </w:rPr>
                              <w:t>79</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7D215F" id="Rounded Rectangle 7" o:spid="_x0000_s1026" style="position:absolute;left:0;text-align:left;margin-left:349.4pt;margin-top:1.45pt;width:83.15pt;height:47.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" fillcolor="#4f81bd [3204]" strokecolor="#243f60 [1604]" strokeweight="2pt">
                <v:textbox>
                  <w:txbxContent>
                    <w:p w14:paraId="2D3A3AF2" w14:textId="0EA2F900" w:rsidR="00B35142" w:rsidRPr="00500AFF" w:rsidRDefault="005D2950" w:rsidP="00B35142">
                      <w:pPr>
                        <w:jc w:val="center"/>
                        <w:rPr>
                          <w:sz w:val="56"/>
                          <w:szCs w:val="56"/>
                        </w:rPr>
                      </w:pPr>
                      <w:r>
                        <w:rPr>
                          <w:sz w:val="56"/>
                          <w:szCs w:val="56"/>
                        </w:rPr>
                        <w:t>79</w:t>
                      </w:r>
                      <w:bookmarkStart w:id="1" w:name="_GoBack"/>
                      <w:bookmarkEnd w:id="1"/>
                    </w:p>
                  </w:txbxContent>
                </v:textbox>
              </v:roundrect>
            </w:pict>
          </mc:Fallback>
        </mc:AlternateContent>
      </w: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38A06A4" wp14:editId="712D9831">
                <wp:simplePos x="0" y="0"/>
                <wp:positionH relativeFrom="column">
                  <wp:posOffset>4115435</wp:posOffset>
                </wp:positionH>
                <wp:positionV relativeFrom="paragraph">
                  <wp:posOffset>182235</wp:posOffset>
                </wp:positionV>
                <wp:extent cx="286603" cy="340730"/>
                <wp:effectExtent l="0" t="19050" r="37465" b="40640"/>
                <wp:wrapNone/>
                <wp:docPr id="11" name="Right Arrow 11"/>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B0E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24.05pt;margin-top:14.35pt;width:22.5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" adj="10800" fillcolor="#c6d9f1 [671]"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D348F1A" wp14:editId="6462C9A9">
                <wp:simplePos x="0" y="0"/>
                <wp:positionH relativeFrom="column">
                  <wp:posOffset>3045157</wp:posOffset>
                </wp:positionH>
                <wp:positionV relativeFrom="paragraph">
                  <wp:posOffset>18415</wp:posOffset>
                </wp:positionV>
                <wp:extent cx="1056290" cy="599090"/>
                <wp:effectExtent l="0" t="0" r="10795" b="10795"/>
                <wp:wrapNone/>
                <wp:docPr id="6" name="Rounded Rectangle 6"/>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F431A1" w14:textId="4DB83FD0" w:rsidR="00B35142" w:rsidRPr="00500AFF" w:rsidRDefault="005D2950" w:rsidP="00B35142">
                            <w:pPr>
                              <w:jc w:val="center"/>
                              <w:rPr>
                                <w:sz w:val="52"/>
                                <w:szCs w:val="52"/>
                              </w:rPr>
                            </w:pPr>
                            <w:r>
                              <w:rPr>
                                <w:sz w:val="52"/>
                                <w:szCs w:val="52"/>
                              </w:rPr>
                              <w:t>732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348F1A" id="Rounded Rectangle 6" o:spid="_x0000_s1027" style="position:absolute;left:0;text-align:left;margin-left:239.8pt;margin-top:1.45pt;width:83.15pt;height:47.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" fillcolor="#4f81bd [3204]" strokecolor="#243f60 [1604]" strokeweight="2pt">
                <v:textbox>
                  <w:txbxContent>
                    <w:p w14:paraId="2DF431A1" w14:textId="4DB83FD0" w:rsidR="00B35142" w:rsidRPr="00500AFF" w:rsidRDefault="005D2950" w:rsidP="00B35142">
                      <w:pPr>
                        <w:jc w:val="center"/>
                        <w:rPr>
                          <w:sz w:val="52"/>
                          <w:szCs w:val="52"/>
                        </w:rPr>
                      </w:pPr>
                      <w:r>
                        <w:rPr>
                          <w:sz w:val="52"/>
                          <w:szCs w:val="52"/>
                        </w:rPr>
                        <w:t>732</w:t>
                      </w:r>
                    </w:p>
                  </w:txbxContent>
                </v:textbox>
              </v:roundrect>
            </w:pict>
          </mc:Fallback>
        </mc:AlternateContent>
      </w: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3CDF43EB" wp14:editId="5C3D5AF2">
                <wp:simplePos x="0" y="0"/>
                <wp:positionH relativeFrom="column">
                  <wp:posOffset>2731657</wp:posOffset>
                </wp:positionH>
                <wp:positionV relativeFrom="paragraph">
                  <wp:posOffset>182928</wp:posOffset>
                </wp:positionV>
                <wp:extent cx="286603" cy="340730"/>
                <wp:effectExtent l="0" t="19050" r="37465" b="40640"/>
                <wp:wrapNone/>
                <wp:docPr id="9" name="Right Arrow 9"/>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A029" id="Right Arrow 9" o:spid="_x0000_s1026" type="#_x0000_t13" style="position:absolute;margin-left:215.1pt;margin-top:14.4pt;width:22.5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" adj="10800" fillcolor="#c6d9f1 [671]" strokecolor="black [3213]" strokeweight="2pt"/>
            </w:pict>
          </mc:Fallback>
        </mc:AlternateContent>
      </w: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38D6E82E" wp14:editId="279606A0">
                <wp:simplePos x="0" y="0"/>
                <wp:positionH relativeFrom="column">
                  <wp:posOffset>1337291</wp:posOffset>
                </wp:positionH>
                <wp:positionV relativeFrom="paragraph">
                  <wp:posOffset>167005</wp:posOffset>
                </wp:positionV>
                <wp:extent cx="286603" cy="340730"/>
                <wp:effectExtent l="0" t="19050" r="37465" b="40640"/>
                <wp:wrapNone/>
                <wp:docPr id="8" name="Right Arrow 8"/>
                <wp:cNvGraphicFramePr/>
                <a:graphic xmlns:a="http://schemas.openxmlformats.org/drawingml/2006/main">
                  <a:graphicData uri="http://schemas.microsoft.com/office/word/2010/wordprocessingShape">
                    <wps:wsp>
                      <wps:cNvSpPr/>
                      <wps:spPr>
                        <a:xfrm>
                          <a:off x="0" y="0"/>
                          <a:ext cx="286603" cy="340730"/>
                        </a:xfrm>
                        <a:prstGeom prst="rightArrow">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9063" id="Right Arrow 8" o:spid="_x0000_s1026" type="#_x0000_t13" style="position:absolute;margin-left:105.3pt;margin-top:13.15pt;width:22.5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" adj="10800" fillcolor="#c6d9f1 [671]"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18900C4" wp14:editId="3FEF3479">
                <wp:simplePos x="0" y="0"/>
                <wp:positionH relativeFrom="column">
                  <wp:posOffset>265979</wp:posOffset>
                </wp:positionH>
                <wp:positionV relativeFrom="paragraph">
                  <wp:posOffset>10795</wp:posOffset>
                </wp:positionV>
                <wp:extent cx="1056290" cy="599090"/>
                <wp:effectExtent l="0" t="0" r="10795" b="10795"/>
                <wp:wrapNone/>
                <wp:docPr id="4" name="Rounded Rectangle 4"/>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0AD8E" w14:textId="77777777" w:rsidR="00B35142" w:rsidRPr="00D76375" w:rsidRDefault="00B35142" w:rsidP="00B35142">
                            <w:pPr>
                              <w:jc w:val="center"/>
                              <w:rPr>
                                <w:sz w:val="48"/>
                                <w:szCs w:val="48"/>
                              </w:rPr>
                            </w:pPr>
                            <w:r w:rsidRPr="00D76375">
                              <w:rPr>
                                <w:sz w:val="48"/>
                                <w:szCs w:val="48"/>
                              </w:rPr>
                              <w:t>1,2228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8900C4" id="Rounded Rectangle 4" o:spid="_x0000_s1028" style="position:absolute;left:0;text-align:left;margin-left:20.95pt;margin-top:.85pt;width:83.15pt;height:47.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" fillcolor="#4f81bd [3204]" strokecolor="#243f60 [1604]" strokeweight="2pt">
                <v:textbox>
                  <w:txbxContent>
                    <w:p w14:paraId="0C20AD8E" w14:textId="77777777" w:rsidR="00B35142" w:rsidRPr="00D76375" w:rsidRDefault="00B35142" w:rsidP="00B35142">
                      <w:pPr>
                        <w:jc w:val="center"/>
                        <w:rPr>
                          <w:sz w:val="48"/>
                          <w:szCs w:val="48"/>
                        </w:rPr>
                      </w:pPr>
                      <w:r w:rsidRPr="00D76375">
                        <w:rPr>
                          <w:sz w:val="48"/>
                          <w:szCs w:val="48"/>
                        </w:rPr>
                        <w:t>1</w:t>
                      </w:r>
                      <w:proofErr w:type="gramStart"/>
                      <w:r w:rsidRPr="00D76375">
                        <w:rPr>
                          <w:sz w:val="48"/>
                          <w:szCs w:val="48"/>
                        </w:rPr>
                        <w:t>,2228</w:t>
                      </w:r>
                      <w:proofErr w:type="gramEnd"/>
                    </w:p>
                  </w:txbxContent>
                </v:textbox>
              </v:roundrect>
            </w:pict>
          </mc:Fallback>
        </mc:AlternateContent>
      </w:r>
      <w:r w:rsidRPr="00500AFF">
        <w:rPr>
          <w:rFonts w:ascii="Times New Roman" w:hAnsi="Times New Roman" w:cs="Times New Roman"/>
          <w:noProof/>
          <w:sz w:val="48"/>
          <w:szCs w:val="48"/>
        </w:rPr>
        <mc:AlternateContent>
          <mc:Choice Requires="wps">
            <w:drawing>
              <wp:anchor distT="0" distB="0" distL="114300" distR="114300" simplePos="0" relativeHeight="251660288" behindDoc="0" locked="0" layoutInCell="1" allowOverlap="1" wp14:anchorId="56BCD48E" wp14:editId="25333A2F">
                <wp:simplePos x="0" y="0"/>
                <wp:positionH relativeFrom="column">
                  <wp:posOffset>1650602</wp:posOffset>
                </wp:positionH>
                <wp:positionV relativeFrom="paragraph">
                  <wp:posOffset>16510</wp:posOffset>
                </wp:positionV>
                <wp:extent cx="1056290" cy="599090"/>
                <wp:effectExtent l="0" t="0" r="10795" b="10795"/>
                <wp:wrapNone/>
                <wp:docPr id="5" name="Rounded Rectangle 5"/>
                <wp:cNvGraphicFramePr/>
                <a:graphic xmlns:a="http://schemas.openxmlformats.org/drawingml/2006/main">
                  <a:graphicData uri="http://schemas.microsoft.com/office/word/2010/wordprocessingShape">
                    <wps:wsp>
                      <wps:cNvSpPr/>
                      <wps:spPr>
                        <a:xfrm>
                          <a:off x="0" y="0"/>
                          <a:ext cx="1056290" cy="5990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AEDFAD" w14:textId="5C668237" w:rsidR="00B35142" w:rsidRPr="00500AFF" w:rsidRDefault="00B35142" w:rsidP="00B35142">
                            <w:pPr>
                              <w:jc w:val="center"/>
                              <w:rPr>
                                <w:sz w:val="52"/>
                                <w:szCs w:val="52"/>
                              </w:rPr>
                            </w:pPr>
                            <w:r w:rsidRPr="00500AFF">
                              <w:rPr>
                                <w:sz w:val="52"/>
                                <w:szCs w:val="52"/>
                              </w:rPr>
                              <w:t>79</w:t>
                            </w:r>
                            <w:r w:rsidR="005D2950">
                              <w:rPr>
                                <w:sz w:val="52"/>
                                <w:szCs w:val="5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BCD48E" id="Rounded Rectangle 5" o:spid="_x0000_s1029" style="position:absolute;left:0;text-align:left;margin-left:129.95pt;margin-top:1.3pt;width:83.15pt;height:47.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" fillcolor="#4f81bd [3204]" strokecolor="#243f60 [1604]" strokeweight="2pt">
                <v:textbox>
                  <w:txbxContent>
                    <w:p w14:paraId="5CAEDFAD" w14:textId="5C668237" w:rsidR="00B35142" w:rsidRPr="00500AFF" w:rsidRDefault="00B35142" w:rsidP="00B35142">
                      <w:pPr>
                        <w:jc w:val="center"/>
                        <w:rPr>
                          <w:sz w:val="52"/>
                          <w:szCs w:val="52"/>
                        </w:rPr>
                      </w:pPr>
                      <w:r w:rsidRPr="00500AFF">
                        <w:rPr>
                          <w:sz w:val="52"/>
                          <w:szCs w:val="52"/>
                        </w:rPr>
                        <w:t>79</w:t>
                      </w:r>
                      <w:r w:rsidR="005D2950">
                        <w:rPr>
                          <w:sz w:val="52"/>
                          <w:szCs w:val="52"/>
                        </w:rPr>
                        <w:t>9</w:t>
                      </w:r>
                    </w:p>
                  </w:txbxContent>
                </v:textbox>
              </v:roundrect>
            </w:pict>
          </mc:Fallback>
        </mc:AlternateContent>
      </w:r>
    </w:p>
    <w:p w14:paraId="00732A21" w14:textId="77777777" w:rsidR="00B35142" w:rsidRDefault="00B35142" w:rsidP="00B35142">
      <w:pPr>
        <w:spacing w:after="120"/>
        <w:jc w:val="both"/>
        <w:rPr>
          <w:rStyle w:val="Strong"/>
          <w:rFonts w:ascii="Times New Roman" w:hAnsi="Times New Roman" w:cs="Times New Roman"/>
        </w:rPr>
      </w:pPr>
    </w:p>
    <w:p w14:paraId="5D23F2C7" w14:textId="77777777" w:rsidR="00B35142" w:rsidRDefault="00B35142" w:rsidP="00B35142">
      <w:pPr>
        <w:spacing w:after="120"/>
        <w:jc w:val="both"/>
        <w:rPr>
          <w:rStyle w:val="Strong"/>
          <w:rFonts w:ascii="Times New Roman" w:hAnsi="Times New Roman" w:cs="Times New Roman"/>
        </w:rPr>
      </w:pPr>
    </w:p>
    <w:p w14:paraId="47259E60" w14:textId="77777777" w:rsidR="00B35142" w:rsidRDefault="00B35142" w:rsidP="00B35142">
      <w:pPr>
        <w:spacing w:after="120"/>
        <w:jc w:val="both"/>
        <w:rPr>
          <w:rStyle w:val="Strong"/>
          <w:rFonts w:ascii="Times New Roman" w:hAnsi="Times New Roman" w:cs="Times New Roman"/>
        </w:rPr>
      </w:pPr>
      <w:r>
        <w:rPr>
          <w:rStyle w:val="Strong"/>
          <w:rFonts w:ascii="Times New Roman" w:hAnsi="Times New Roman" w:cs="Times New Roman"/>
        </w:rPr>
        <w:t xml:space="preserve">          Identification                      Screened                       Elligibility                  Final Selection</w:t>
      </w:r>
    </w:p>
    <w:p w14:paraId="0939A544" w14:textId="77777777" w:rsidR="00B35142" w:rsidRDefault="00B35142" w:rsidP="00B35142">
      <w:pPr>
        <w:spacing w:after="120"/>
        <w:ind w:left="4320" w:firstLine="720"/>
        <w:jc w:val="both"/>
        <w:rPr>
          <w:rStyle w:val="Strong"/>
          <w:rFonts w:ascii="Times New Roman" w:hAnsi="Times New Roman" w:cs="Times New Roman"/>
        </w:rPr>
      </w:pPr>
      <w:r>
        <w:rPr>
          <w:rStyle w:val="Strong"/>
          <w:rFonts w:ascii="Times New Roman" w:hAnsi="Times New Roman" w:cs="Times New Roman"/>
        </w:rPr>
        <w:t xml:space="preserve">  Assesment</w:t>
      </w:r>
    </w:p>
    <w:p w14:paraId="0385D3C2" w14:textId="77777777" w:rsidR="00B35142" w:rsidRDefault="00B35142" w:rsidP="00B35142">
      <w:pPr>
        <w:spacing w:after="120"/>
        <w:jc w:val="center"/>
        <w:rPr>
          <w:rStyle w:val="Strong"/>
          <w:rFonts w:ascii="Times New Roman" w:hAnsi="Times New Roman" w:cs="Times New Roman"/>
        </w:rPr>
      </w:pPr>
    </w:p>
    <w:p w14:paraId="2C640812" w14:textId="1693F290" w:rsidR="00B35142" w:rsidRPr="00B35142" w:rsidRDefault="00B35142" w:rsidP="00B35142">
      <w:pPr>
        <w:spacing w:after="120"/>
        <w:jc w:val="center"/>
        <w:rPr>
          <w:rFonts w:ascii="Times New Roman" w:hAnsi="Times New Roman" w:cs="Times New Roman"/>
          <w:b/>
          <w:bCs/>
        </w:rPr>
      </w:pPr>
      <w:r w:rsidRPr="00D76375">
        <w:rPr>
          <w:rStyle w:val="Strong"/>
          <w:rFonts w:ascii="Times New Roman" w:hAnsi="Times New Roman" w:cs="Times New Roman"/>
          <w:b w:val="0"/>
        </w:rPr>
        <w:t>Figure 1. PRISMA Step</w:t>
      </w:r>
    </w:p>
    <w:p w14:paraId="149661A6" w14:textId="77777777" w:rsidR="00B35142" w:rsidRPr="00262AD4" w:rsidRDefault="00B35142" w:rsidP="00B35142">
      <w:pPr>
        <w:rPr>
          <w:rFonts w:ascii="Times New Roman" w:hAnsi="Times New Roman" w:cs="Times New Roman"/>
          <w:b/>
        </w:rPr>
      </w:pPr>
      <w:r>
        <w:rPr>
          <w:rFonts w:ascii="Times New Roman" w:hAnsi="Times New Roman" w:cs="Times New Roman"/>
          <w:b/>
        </w:rPr>
        <w:t>Ethical Considerations</w:t>
      </w:r>
    </w:p>
    <w:p w14:paraId="4BB592A7" w14:textId="682CDF3D" w:rsidR="006250EF" w:rsidRDefault="00B35142" w:rsidP="00B35142">
      <w:pPr>
        <w:widowControl w:val="0"/>
        <w:spacing w:after="0" w:line="252" w:lineRule="auto"/>
        <w:jc w:val="both"/>
        <w:rPr>
          <w:rFonts w:ascii="Times New Roman" w:hAnsi="Times New Roman" w:cs="Times New Roman"/>
        </w:rPr>
      </w:pPr>
      <w:r w:rsidRPr="00262AD4">
        <w:rPr>
          <w:rFonts w:ascii="Times New Roman" w:hAnsi="Times New Roman" w:cs="Times New Roman"/>
        </w:rPr>
        <w:t>As this study is a systematic review of publicly available published literature, it did not involve direct interaction with hu</w:t>
      </w:r>
      <w:r>
        <w:rPr>
          <w:rFonts w:ascii="Times New Roman" w:hAnsi="Times New Roman" w:cs="Times New Roman"/>
        </w:rPr>
        <w:t xml:space="preserve">man participants and therefore </w:t>
      </w:r>
      <w:r w:rsidRPr="00262AD4">
        <w:rPr>
          <w:rFonts w:ascii="Times New Roman" w:hAnsi="Times New Roman" w:cs="Times New Roman"/>
        </w:rPr>
        <w:t>did not require f</w:t>
      </w:r>
      <w:r>
        <w:rPr>
          <w:rFonts w:ascii="Times New Roman" w:hAnsi="Times New Roman" w:cs="Times New Roman"/>
        </w:rPr>
        <w:t>ormal ethics committee approval</w:t>
      </w:r>
      <w:r w:rsidRPr="00262AD4">
        <w:rPr>
          <w:rFonts w:ascii="Times New Roman" w:hAnsi="Times New Roman" w:cs="Times New Roman"/>
        </w:rPr>
        <w:t>. However, ethical principles were upheld throughout the research process. All included studies were evaluated based on their adherence to ethical standards during the original data collection phase, particularly concerning informed consent, confidentiality, and protection of participant rights. Efforts were made to include only those studies that explicitly reported compliance with ethical research practices. Furthermore, the review aimed to promote equitable healthcare practices by highlighting interventions that address structural inequities and improve culturally responsive care.</w:t>
      </w:r>
    </w:p>
    <w:p w14:paraId="33F74394" w14:textId="77777777" w:rsidR="00B35142" w:rsidRDefault="00B35142" w:rsidP="00B35142">
      <w:pPr>
        <w:widowControl w:val="0"/>
        <w:spacing w:after="0" w:line="252" w:lineRule="auto"/>
        <w:jc w:val="both"/>
        <w:rPr>
          <w:rFonts w:ascii="Times New Roman" w:eastAsia="Times New Roman" w:hAnsi="Times New Roman" w:cs="Times New Roman"/>
        </w:rPr>
      </w:pPr>
    </w:p>
    <w:p w14:paraId="0FC7FC1E" w14:textId="56EB4A3B" w:rsidR="006250EF" w:rsidRDefault="00B35142">
      <w:pPr>
        <w:widowControl w:val="0"/>
        <w:spacing w:before="94"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 xml:space="preserve">RESULTS </w:t>
      </w:r>
    </w:p>
    <w:p w14:paraId="061FD083" w14:textId="77777777" w:rsidR="006250EF" w:rsidRDefault="006250EF">
      <w:pPr>
        <w:widowControl w:val="0"/>
        <w:spacing w:before="2" w:after="0" w:line="240" w:lineRule="auto"/>
        <w:rPr>
          <w:rFonts w:ascii="Times New Roman" w:eastAsia="Times New Roman" w:hAnsi="Times New Roman" w:cs="Times New Roman"/>
          <w:b/>
        </w:rPr>
      </w:pPr>
    </w:p>
    <w:p w14:paraId="6057F74D" w14:textId="77777777" w:rsidR="00B35142" w:rsidRPr="00E86A9D" w:rsidRDefault="00B35142" w:rsidP="00B35142">
      <w:pPr>
        <w:jc w:val="both"/>
        <w:rPr>
          <w:rFonts w:ascii="Times New Roman" w:hAnsi="Times New Roman" w:cs="Times New Roman"/>
        </w:rPr>
      </w:pPr>
      <w:r w:rsidRPr="00E86A9D">
        <w:rPr>
          <w:rFonts w:ascii="Times New Roman" w:hAnsi="Times New Roman" w:cs="Times New Roman"/>
        </w:rPr>
        <w:t>The increasing cultural diversity of patient populations has made cultural competence training an essential strategy for improving healthcare delivery in modern, multicultural societies. As communities become more ethnically, linguistically, and culturally heterogeneous, the demand for healthcare providers to communicate effectively, demonstrate cultural sensitivity, and deliver equitable care has never been greater. This section presents a comprehensive analysis of how cultural competence training influences key domains of healthcare delivery, including doctor–patient communication, patient satisfaction, and health equity. The findings highlight not only the mechanisms through which such training generates meaningful improvements but also the practical strategies that support effective implementation and long-term sustainability.</w:t>
      </w:r>
    </w:p>
    <w:p w14:paraId="29B72854" w14:textId="77777777" w:rsidR="00B35142" w:rsidRPr="000504A8" w:rsidRDefault="00B35142" w:rsidP="00B35142">
      <w:pPr>
        <w:rPr>
          <w:rFonts w:ascii="Times New Roman" w:hAnsi="Times New Roman" w:cs="Times New Roman"/>
          <w:b/>
        </w:rPr>
      </w:pPr>
      <w:r w:rsidRPr="000504A8">
        <w:rPr>
          <w:rFonts w:ascii="Times New Roman" w:hAnsi="Times New Roman" w:cs="Times New Roman"/>
          <w:b/>
        </w:rPr>
        <w:t>Table 1. Comprehensive Overview of Outcomes, Mechanisms, and Implementation Strategies of Cultural Competence Training for Healthcare Providers</w:t>
      </w:r>
    </w:p>
    <w:tbl>
      <w:tblPr>
        <w:tblStyle w:val="TableGrid"/>
        <w:tblW w:w="0" w:type="auto"/>
        <w:tblLook w:val="04A0" w:firstRow="1" w:lastRow="0" w:firstColumn="1" w:lastColumn="0" w:noHBand="0" w:noVBand="1"/>
      </w:tblPr>
      <w:tblGrid>
        <w:gridCol w:w="1332"/>
        <w:gridCol w:w="1648"/>
        <w:gridCol w:w="1522"/>
        <w:gridCol w:w="1556"/>
        <w:gridCol w:w="1487"/>
        <w:gridCol w:w="1515"/>
      </w:tblGrid>
      <w:tr w:rsidR="00B35142" w14:paraId="19CB817D" w14:textId="77777777" w:rsidTr="00514CAF">
        <w:tc>
          <w:tcPr>
            <w:tcW w:w="1332" w:type="dxa"/>
          </w:tcPr>
          <w:p w14:paraId="7292F2CF" w14:textId="77777777" w:rsidR="00B35142" w:rsidRPr="000504A8" w:rsidRDefault="00B35142" w:rsidP="00514CAF">
            <w:pPr>
              <w:rPr>
                <w:b/>
              </w:rPr>
            </w:pPr>
            <w:r>
              <w:rPr>
                <w:rFonts w:ascii="Times New Roman" w:eastAsia="Times New Roman" w:hAnsi="Times New Roman" w:cs="Times New Roman"/>
                <w:b/>
                <w:color w:val="1D1D20"/>
                <w:spacing w:val="-5"/>
                <w:sz w:val="16"/>
                <w:szCs w:val="16"/>
              </w:rPr>
              <w:t>T</w:t>
            </w:r>
            <w:r w:rsidRPr="000504A8">
              <w:rPr>
                <w:rFonts w:ascii="Times New Roman" w:eastAsia="Times New Roman" w:hAnsi="Times New Roman" w:cs="Times New Roman"/>
                <w:b/>
                <w:color w:val="1D1D20"/>
                <w:spacing w:val="-5"/>
                <w:sz w:val="16"/>
                <w:szCs w:val="16"/>
              </w:rPr>
              <w:t>heme / Outcome Area</w:t>
            </w:r>
          </w:p>
        </w:tc>
        <w:tc>
          <w:tcPr>
            <w:tcW w:w="1784" w:type="dxa"/>
          </w:tcPr>
          <w:p w14:paraId="0A79D64E" w14:textId="77777777" w:rsidR="00B35142" w:rsidRPr="000504A8" w:rsidRDefault="00B35142" w:rsidP="00514CAF">
            <w:pPr>
              <w:rPr>
                <w:b/>
              </w:rPr>
            </w:pPr>
            <w:r w:rsidRPr="000504A8">
              <w:rPr>
                <w:rFonts w:ascii="Times New Roman" w:eastAsia="Times New Roman" w:hAnsi="Times New Roman" w:cs="Times New Roman"/>
                <w:b/>
                <w:color w:val="1D1D20"/>
                <w:spacing w:val="-5"/>
                <w:sz w:val="16"/>
                <w:szCs w:val="16"/>
              </w:rPr>
              <w:t>Key Findings &amp; Evidence</w:t>
            </w:r>
          </w:p>
        </w:tc>
        <w:tc>
          <w:tcPr>
            <w:tcW w:w="1558" w:type="dxa"/>
          </w:tcPr>
          <w:p w14:paraId="7F1F1F69" w14:textId="77777777" w:rsidR="00B35142" w:rsidRPr="000504A8" w:rsidRDefault="00B35142" w:rsidP="00514CAF">
            <w:pPr>
              <w:tabs>
                <w:tab w:val="left" w:pos="1189"/>
              </w:tabs>
              <w:rPr>
                <w:b/>
              </w:rPr>
            </w:pPr>
            <w:r w:rsidRPr="000504A8">
              <w:rPr>
                <w:rFonts w:ascii="Times New Roman" w:eastAsia="Times New Roman" w:hAnsi="Times New Roman" w:cs="Times New Roman"/>
                <w:b/>
                <w:color w:val="1D1D20"/>
                <w:spacing w:val="-5"/>
                <w:sz w:val="16"/>
                <w:szCs w:val="16"/>
              </w:rPr>
              <w:t xml:space="preserve">Mechanisms </w:t>
            </w:r>
            <w:r>
              <w:rPr>
                <w:rFonts w:ascii="Times New Roman" w:eastAsia="Times New Roman" w:hAnsi="Times New Roman" w:cs="Times New Roman"/>
                <w:b/>
                <w:color w:val="1D1D20"/>
                <w:spacing w:val="-5"/>
                <w:sz w:val="16"/>
                <w:szCs w:val="16"/>
              </w:rPr>
              <w:t>o</w:t>
            </w:r>
            <w:r w:rsidRPr="000504A8">
              <w:rPr>
                <w:rFonts w:ascii="Times New Roman" w:eastAsia="Times New Roman" w:hAnsi="Times New Roman" w:cs="Times New Roman"/>
                <w:b/>
                <w:color w:val="1D1D20"/>
                <w:spacing w:val="-5"/>
                <w:sz w:val="16"/>
                <w:szCs w:val="16"/>
              </w:rPr>
              <w:t>f Impact</w:t>
            </w:r>
          </w:p>
        </w:tc>
        <w:tc>
          <w:tcPr>
            <w:tcW w:w="1558" w:type="dxa"/>
          </w:tcPr>
          <w:p w14:paraId="6804FE5F" w14:textId="77777777" w:rsidR="00B35142" w:rsidRPr="000504A8" w:rsidRDefault="00B35142" w:rsidP="00514CAF">
            <w:pPr>
              <w:rPr>
                <w:b/>
              </w:rPr>
            </w:pPr>
            <w:r w:rsidRPr="000504A8">
              <w:rPr>
                <w:rFonts w:ascii="Times New Roman" w:eastAsia="Times New Roman" w:hAnsi="Times New Roman" w:cs="Times New Roman"/>
                <w:b/>
                <w:color w:val="1D1D20"/>
                <w:spacing w:val="-5"/>
                <w:sz w:val="16"/>
                <w:szCs w:val="16"/>
              </w:rPr>
              <w:t>Theoretical/Practical</w:t>
            </w:r>
            <w:r w:rsidRPr="000504A8">
              <w:rPr>
                <w:rFonts w:ascii="Times New Roman" w:eastAsia="Times New Roman" w:hAnsi="Times New Roman" w:cs="Times New Roman"/>
                <w:b/>
                <w:color w:val="1D1D20"/>
                <w:spacing w:val="-5"/>
                <w:sz w:val="16"/>
                <w:szCs w:val="16"/>
                <w:bdr w:val="single" w:sz="2" w:space="0" w:color="E3E3E3" w:frame="1"/>
              </w:rPr>
              <w:t xml:space="preserve"> </w:t>
            </w:r>
            <w:r w:rsidRPr="000504A8">
              <w:rPr>
                <w:rFonts w:ascii="Times New Roman" w:eastAsia="Times New Roman" w:hAnsi="Times New Roman" w:cs="Times New Roman"/>
                <w:b/>
                <w:color w:val="1D1D20"/>
                <w:spacing w:val="-5"/>
                <w:sz w:val="16"/>
                <w:szCs w:val="16"/>
              </w:rPr>
              <w:t>Implications</w:t>
            </w:r>
          </w:p>
        </w:tc>
        <w:tc>
          <w:tcPr>
            <w:tcW w:w="1559" w:type="dxa"/>
          </w:tcPr>
          <w:p w14:paraId="229F6CD6" w14:textId="77777777" w:rsidR="00B35142" w:rsidRPr="000504A8" w:rsidRDefault="00B35142" w:rsidP="00514CAF">
            <w:pPr>
              <w:rPr>
                <w:b/>
              </w:rPr>
            </w:pPr>
            <w:r w:rsidRPr="000504A8">
              <w:rPr>
                <w:rFonts w:ascii="Times New Roman" w:eastAsia="Times New Roman" w:hAnsi="Times New Roman" w:cs="Times New Roman"/>
                <w:b/>
                <w:color w:val="1D1D20"/>
                <w:spacing w:val="-5"/>
                <w:sz w:val="16"/>
                <w:szCs w:val="16"/>
              </w:rPr>
              <w:t>Implementation</w:t>
            </w:r>
            <w:r w:rsidRPr="000504A8">
              <w:rPr>
                <w:rFonts w:ascii="Times New Roman" w:eastAsia="Times New Roman" w:hAnsi="Times New Roman" w:cs="Times New Roman"/>
                <w:b/>
                <w:color w:val="1D1D20"/>
                <w:spacing w:val="-5"/>
                <w:sz w:val="16"/>
                <w:szCs w:val="16"/>
                <w:bdr w:val="single" w:sz="2" w:space="0" w:color="E3E3E3" w:frame="1"/>
              </w:rPr>
              <w:t xml:space="preserve"> </w:t>
            </w:r>
            <w:r w:rsidRPr="000504A8">
              <w:rPr>
                <w:rFonts w:ascii="Times New Roman" w:eastAsia="Times New Roman" w:hAnsi="Times New Roman" w:cs="Times New Roman"/>
                <w:b/>
                <w:color w:val="1D1D20"/>
                <w:spacing w:val="-5"/>
                <w:sz w:val="16"/>
                <w:szCs w:val="16"/>
              </w:rPr>
              <w:t>Strategies</w:t>
            </w:r>
          </w:p>
        </w:tc>
        <w:tc>
          <w:tcPr>
            <w:tcW w:w="1559" w:type="dxa"/>
          </w:tcPr>
          <w:p w14:paraId="591F1DEA" w14:textId="77777777" w:rsidR="00B35142" w:rsidRPr="000504A8" w:rsidRDefault="00B35142" w:rsidP="00514CAF">
            <w:pPr>
              <w:rPr>
                <w:b/>
              </w:rPr>
            </w:pPr>
            <w:r w:rsidRPr="000504A8">
              <w:rPr>
                <w:rFonts w:ascii="Times New Roman" w:eastAsia="Times New Roman" w:hAnsi="Times New Roman" w:cs="Times New Roman"/>
                <w:b/>
                <w:color w:val="1D1D20"/>
                <w:spacing w:val="-5"/>
                <w:sz w:val="16"/>
                <w:szCs w:val="16"/>
              </w:rPr>
              <w:t>Long-Term</w:t>
            </w:r>
            <w:r w:rsidRPr="000504A8">
              <w:rPr>
                <w:rFonts w:ascii="Times New Roman" w:eastAsia="Times New Roman" w:hAnsi="Times New Roman" w:cs="Times New Roman"/>
                <w:b/>
                <w:color w:val="1D1D20"/>
                <w:spacing w:val="-5"/>
                <w:sz w:val="16"/>
                <w:szCs w:val="16"/>
                <w:bdr w:val="single" w:sz="2" w:space="0" w:color="E3E3E3" w:frame="1"/>
              </w:rPr>
              <w:t xml:space="preserve"> </w:t>
            </w:r>
            <w:r w:rsidRPr="000504A8">
              <w:rPr>
                <w:rFonts w:ascii="Times New Roman" w:eastAsia="Times New Roman" w:hAnsi="Times New Roman" w:cs="Times New Roman"/>
                <w:b/>
                <w:color w:val="1D1D20"/>
                <w:spacing w:val="-5"/>
                <w:sz w:val="16"/>
                <w:szCs w:val="16"/>
              </w:rPr>
              <w:t>Outcomes</w:t>
            </w:r>
          </w:p>
        </w:tc>
      </w:tr>
      <w:tr w:rsidR="00B35142" w14:paraId="24CB2255" w14:textId="77777777" w:rsidTr="00514CAF">
        <w:tc>
          <w:tcPr>
            <w:tcW w:w="1332" w:type="dxa"/>
          </w:tcPr>
          <w:p w14:paraId="2F3345F8" w14:textId="77777777" w:rsidR="00B35142" w:rsidRDefault="00B35142" w:rsidP="00514CAF">
            <w:r w:rsidRPr="000504A8">
              <w:rPr>
                <w:rFonts w:ascii="Times New Roman" w:eastAsia="Times New Roman" w:hAnsi="Times New Roman" w:cs="Times New Roman"/>
                <w:color w:val="111827"/>
                <w:spacing w:val="-5"/>
                <w:sz w:val="16"/>
                <w:szCs w:val="16"/>
              </w:rPr>
              <w:t>Enhanced Doctor–Patient</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Communication</w:t>
            </w:r>
          </w:p>
        </w:tc>
        <w:tc>
          <w:tcPr>
            <w:tcW w:w="1784" w:type="dxa"/>
          </w:tcPr>
          <w:p w14:paraId="5D0FFF5A" w14:textId="77777777" w:rsidR="00B35142" w:rsidRDefault="00B35142" w:rsidP="00514CAF">
            <w:r w:rsidRPr="009A234E">
              <w:rPr>
                <w:rFonts w:ascii="Times New Roman" w:eastAsia="Times New Roman" w:hAnsi="Times New Roman" w:cs="Times New Roman"/>
                <w:color w:val="1D1D20"/>
                <w:spacing w:val="-5"/>
                <w:sz w:val="16"/>
                <w:szCs w:val="16"/>
              </w:rPr>
              <w:t xml:space="preserve">Cultural competence training improves understanding of sociocultural differences such as health beliefs, illness narratives, and communication preferences. It strengthens language </w:t>
            </w:r>
            <w:r w:rsidRPr="009A234E">
              <w:rPr>
                <w:rFonts w:ascii="Times New Roman" w:eastAsia="Times New Roman" w:hAnsi="Times New Roman" w:cs="Times New Roman"/>
                <w:color w:val="1D1D20"/>
                <w:spacing w:val="-5"/>
                <w:sz w:val="16"/>
                <w:szCs w:val="16"/>
              </w:rPr>
              <w:lastRenderedPageBreak/>
              <w:t>access (e.g., use of interpreters) and non-verbal skills (e.g., eye contact, personal space norms).</w:t>
            </w:r>
          </w:p>
        </w:tc>
        <w:tc>
          <w:tcPr>
            <w:tcW w:w="1558" w:type="dxa"/>
          </w:tcPr>
          <w:p w14:paraId="49C40BBE" w14:textId="77777777" w:rsidR="00B35142" w:rsidRDefault="00B35142" w:rsidP="00514CAF">
            <w:r w:rsidRPr="009A234E">
              <w:rPr>
                <w:rFonts w:ascii="Times New Roman" w:eastAsia="Times New Roman" w:hAnsi="Times New Roman" w:cs="Times New Roman"/>
                <w:color w:val="1D1D20"/>
                <w:spacing w:val="-5"/>
                <w:sz w:val="16"/>
                <w:szCs w:val="16"/>
              </w:rPr>
              <w:lastRenderedPageBreak/>
              <w:t>Improved cultural awareness leads to better mutual understanding, reduces miscommunication, and builds trust through culturally responsive interaction styles</w:t>
            </w:r>
          </w:p>
        </w:tc>
        <w:tc>
          <w:tcPr>
            <w:tcW w:w="1558" w:type="dxa"/>
          </w:tcPr>
          <w:p w14:paraId="01034F05" w14:textId="77777777" w:rsidR="00B35142" w:rsidRDefault="00B35142" w:rsidP="00514CAF">
            <w:r w:rsidRPr="009A234E">
              <w:rPr>
                <w:rFonts w:ascii="Times New Roman" w:eastAsia="Times New Roman" w:hAnsi="Times New Roman" w:cs="Times New Roman"/>
                <w:color w:val="1D1D20"/>
                <w:spacing w:val="-5"/>
                <w:sz w:val="16"/>
                <w:szCs w:val="16"/>
              </w:rPr>
              <w:t>Supports patient-centered care by aligning provider behavior with patients' expectations, values, and lived experiences. Enhances diagnostic accuracy and treatment adherence.</w:t>
            </w:r>
          </w:p>
        </w:tc>
        <w:tc>
          <w:tcPr>
            <w:tcW w:w="1559" w:type="dxa"/>
          </w:tcPr>
          <w:p w14:paraId="76FB21DE" w14:textId="77777777" w:rsidR="00B35142" w:rsidRDefault="00B35142" w:rsidP="00514CAF">
            <w:r w:rsidRPr="009A234E">
              <w:rPr>
                <w:rFonts w:ascii="Times New Roman" w:eastAsia="Times New Roman" w:hAnsi="Times New Roman" w:cs="Times New Roman"/>
                <w:color w:val="1D1D20"/>
                <w:spacing w:val="-5"/>
                <w:sz w:val="16"/>
                <w:szCs w:val="16"/>
              </w:rPr>
              <w:t xml:space="preserve">Integrate cross-cultural communication into clinical protocols; train providers in interpreter use and non-verbal cue interpretation; embed cultural sensitivity </w:t>
            </w:r>
            <w:r w:rsidRPr="009A234E">
              <w:rPr>
                <w:rFonts w:ascii="Times New Roman" w:eastAsia="Times New Roman" w:hAnsi="Times New Roman" w:cs="Times New Roman"/>
                <w:color w:val="1D1D20"/>
                <w:spacing w:val="-5"/>
                <w:sz w:val="16"/>
                <w:szCs w:val="16"/>
              </w:rPr>
              <w:lastRenderedPageBreak/>
              <w:t>into performance evaluations.</w:t>
            </w:r>
          </w:p>
          <w:p w14:paraId="1B4F448D" w14:textId="77777777" w:rsidR="00B35142" w:rsidRDefault="00B35142" w:rsidP="00514CAF"/>
          <w:p w14:paraId="4B05A0D3" w14:textId="77777777" w:rsidR="00B35142" w:rsidRDefault="00B35142" w:rsidP="00514CAF"/>
          <w:p w14:paraId="31F7A30F" w14:textId="77777777" w:rsidR="00B35142" w:rsidRPr="000D193A" w:rsidRDefault="00B35142" w:rsidP="00514CAF"/>
        </w:tc>
        <w:tc>
          <w:tcPr>
            <w:tcW w:w="1559" w:type="dxa"/>
          </w:tcPr>
          <w:p w14:paraId="04373937" w14:textId="77777777" w:rsidR="00B35142" w:rsidRDefault="00B35142" w:rsidP="00514CAF">
            <w:r w:rsidRPr="009A234E">
              <w:rPr>
                <w:rFonts w:ascii="Times New Roman" w:eastAsia="Times New Roman" w:hAnsi="Times New Roman" w:cs="Times New Roman"/>
                <w:color w:val="1D1D20"/>
                <w:spacing w:val="-5"/>
                <w:sz w:val="16"/>
                <w:szCs w:val="16"/>
              </w:rPr>
              <w:lastRenderedPageBreak/>
              <w:t>Sustained improvement in therapeutic relationships, reduced misunderstandings, and increased patient engagement over time.</w:t>
            </w:r>
          </w:p>
          <w:p w14:paraId="559AA063" w14:textId="77777777" w:rsidR="00B35142" w:rsidRDefault="00B35142" w:rsidP="00514CAF"/>
          <w:p w14:paraId="2807D2A7" w14:textId="77777777" w:rsidR="00B35142" w:rsidRDefault="00B35142" w:rsidP="00514CAF"/>
          <w:p w14:paraId="4F291E98" w14:textId="77777777" w:rsidR="00B35142" w:rsidRDefault="00B35142" w:rsidP="00514CAF"/>
          <w:p w14:paraId="77878375" w14:textId="77777777" w:rsidR="00B35142" w:rsidRPr="000D193A" w:rsidRDefault="00B35142" w:rsidP="00514CAF">
            <w:pPr>
              <w:tabs>
                <w:tab w:val="left" w:pos="820"/>
              </w:tabs>
            </w:pPr>
            <w:r>
              <w:tab/>
            </w:r>
          </w:p>
        </w:tc>
      </w:tr>
      <w:tr w:rsidR="00B35142" w14:paraId="4CF436D7" w14:textId="77777777" w:rsidTr="00514CAF">
        <w:tc>
          <w:tcPr>
            <w:tcW w:w="1332" w:type="dxa"/>
          </w:tcPr>
          <w:p w14:paraId="1FF0D00D" w14:textId="77777777" w:rsidR="00B35142" w:rsidRDefault="00B35142" w:rsidP="00514CAF">
            <w:r w:rsidRPr="000504A8">
              <w:rPr>
                <w:rFonts w:ascii="Times New Roman" w:eastAsia="Times New Roman" w:hAnsi="Times New Roman" w:cs="Times New Roman"/>
                <w:color w:val="111827"/>
                <w:spacing w:val="-5"/>
                <w:sz w:val="16"/>
                <w:szCs w:val="16"/>
              </w:rPr>
              <w:lastRenderedPageBreak/>
              <w:t>Higher Patient</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Satisfaction</w:t>
            </w:r>
          </w:p>
        </w:tc>
        <w:tc>
          <w:tcPr>
            <w:tcW w:w="1784" w:type="dxa"/>
          </w:tcPr>
          <w:p w14:paraId="746A4CE6" w14:textId="77777777" w:rsidR="00B35142" w:rsidRDefault="00B35142" w:rsidP="00514CAF">
            <w:pPr>
              <w:tabs>
                <w:tab w:val="left" w:pos="837"/>
              </w:tabs>
            </w:pPr>
            <w:r w:rsidRPr="009A234E">
              <w:rPr>
                <w:rFonts w:ascii="Times New Roman" w:eastAsia="Times New Roman" w:hAnsi="Times New Roman" w:cs="Times New Roman"/>
                <w:color w:val="1D1D20"/>
                <w:spacing w:val="-5"/>
                <w:sz w:val="16"/>
                <w:szCs w:val="16"/>
              </w:rPr>
              <w:t>Culturally competent care increases satisfaction among racial and ethnic minority patients by respecting autonomy, family involvement, and cultural decision-making processes. Reduces perceived discrimination and stereotyping.</w:t>
            </w:r>
          </w:p>
        </w:tc>
        <w:tc>
          <w:tcPr>
            <w:tcW w:w="1558" w:type="dxa"/>
          </w:tcPr>
          <w:p w14:paraId="2D150D04" w14:textId="77777777" w:rsidR="00B35142" w:rsidRDefault="00B35142" w:rsidP="00514CAF">
            <w:r w:rsidRPr="009A234E">
              <w:rPr>
                <w:rFonts w:ascii="Times New Roman" w:eastAsia="Times New Roman" w:hAnsi="Times New Roman" w:cs="Times New Roman"/>
                <w:color w:val="1D1D20"/>
                <w:spacing w:val="-5"/>
                <w:sz w:val="16"/>
                <w:szCs w:val="16"/>
              </w:rPr>
              <w:t>Patients who feel heard and respected are more likely to engage actively in their care, adhere to treatment, and return for follow-up.</w:t>
            </w:r>
          </w:p>
        </w:tc>
        <w:tc>
          <w:tcPr>
            <w:tcW w:w="1558" w:type="dxa"/>
          </w:tcPr>
          <w:p w14:paraId="1BA116DD" w14:textId="77777777" w:rsidR="00B35142" w:rsidRDefault="00B35142" w:rsidP="00514CAF">
            <w:r w:rsidRPr="009A234E">
              <w:rPr>
                <w:rFonts w:ascii="Times New Roman" w:eastAsia="Times New Roman" w:hAnsi="Times New Roman" w:cs="Times New Roman"/>
                <w:color w:val="1D1D20"/>
                <w:spacing w:val="-5"/>
                <w:sz w:val="16"/>
                <w:szCs w:val="16"/>
              </w:rPr>
              <w:t>Aligns with frameworks like CAHPS that emphasize respect, empathy, and shared decision-making as core components of quality healthcare.</w:t>
            </w:r>
          </w:p>
          <w:p w14:paraId="0DF6EFE9" w14:textId="77777777" w:rsidR="00B35142" w:rsidRPr="000D193A" w:rsidRDefault="00B35142" w:rsidP="00514CAF">
            <w:pPr>
              <w:ind w:firstLine="720"/>
            </w:pPr>
          </w:p>
        </w:tc>
        <w:tc>
          <w:tcPr>
            <w:tcW w:w="1559" w:type="dxa"/>
          </w:tcPr>
          <w:p w14:paraId="555E6608" w14:textId="77777777" w:rsidR="00B35142" w:rsidRDefault="00B35142" w:rsidP="00514CAF">
            <w:r w:rsidRPr="009A234E">
              <w:rPr>
                <w:rFonts w:ascii="Times New Roman" w:eastAsia="Times New Roman" w:hAnsi="Times New Roman" w:cs="Times New Roman"/>
                <w:color w:val="1D1D20"/>
                <w:spacing w:val="-5"/>
                <w:sz w:val="16"/>
                <w:szCs w:val="16"/>
              </w:rPr>
              <w:t>Implement patient feedback systems sensitive to cultural context; promote inclusive communication policies; train providers in empathetic, culturally respectful interactions.</w:t>
            </w:r>
          </w:p>
          <w:p w14:paraId="217D1713" w14:textId="77777777" w:rsidR="00B35142" w:rsidRDefault="00B35142" w:rsidP="00514CAF"/>
          <w:p w14:paraId="56EB0965" w14:textId="77777777" w:rsidR="00B35142" w:rsidRDefault="00B35142" w:rsidP="00514CAF"/>
          <w:p w14:paraId="11D44B33" w14:textId="77777777" w:rsidR="00B35142" w:rsidRPr="000D193A" w:rsidRDefault="00B35142" w:rsidP="00514CAF"/>
        </w:tc>
        <w:tc>
          <w:tcPr>
            <w:tcW w:w="1559" w:type="dxa"/>
          </w:tcPr>
          <w:p w14:paraId="18559F66" w14:textId="77777777" w:rsidR="00B35142" w:rsidRDefault="00B35142" w:rsidP="00514CAF">
            <w:r w:rsidRPr="009A234E">
              <w:rPr>
                <w:rFonts w:ascii="Times New Roman" w:eastAsia="Times New Roman" w:hAnsi="Times New Roman" w:cs="Times New Roman"/>
                <w:color w:val="1D1D20"/>
                <w:spacing w:val="-5"/>
                <w:sz w:val="16"/>
                <w:szCs w:val="16"/>
              </w:rPr>
              <w:t>Increased patient retention, improved long-term health behaviors, and stronger patient-provider loyalty.</w:t>
            </w:r>
          </w:p>
          <w:p w14:paraId="27D0C48D" w14:textId="77777777" w:rsidR="00B35142" w:rsidRDefault="00B35142" w:rsidP="00514CAF"/>
          <w:p w14:paraId="0F112D6B" w14:textId="77777777" w:rsidR="00B35142" w:rsidRDefault="00B35142" w:rsidP="00514CAF"/>
          <w:p w14:paraId="21080D55" w14:textId="77777777" w:rsidR="00B35142" w:rsidRPr="000D193A" w:rsidRDefault="00B35142" w:rsidP="00514CAF"/>
        </w:tc>
      </w:tr>
      <w:tr w:rsidR="00B35142" w14:paraId="4A510BB0" w14:textId="77777777" w:rsidTr="00514CAF">
        <w:tc>
          <w:tcPr>
            <w:tcW w:w="1332" w:type="dxa"/>
          </w:tcPr>
          <w:p w14:paraId="4FE8C273" w14:textId="77777777" w:rsidR="00B35142" w:rsidRDefault="00B35142" w:rsidP="00514CAF">
            <w:r w:rsidRPr="000504A8">
              <w:rPr>
                <w:rFonts w:ascii="Times New Roman" w:eastAsia="Times New Roman" w:hAnsi="Times New Roman" w:cs="Times New Roman"/>
                <w:color w:val="111827"/>
                <w:spacing w:val="-5"/>
                <w:sz w:val="16"/>
                <w:szCs w:val="16"/>
              </w:rPr>
              <w:t>Reduction in</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Health Disparities</w:t>
            </w:r>
          </w:p>
        </w:tc>
        <w:tc>
          <w:tcPr>
            <w:tcW w:w="1784" w:type="dxa"/>
          </w:tcPr>
          <w:p w14:paraId="2F78A8A5" w14:textId="77777777" w:rsidR="00B35142" w:rsidRDefault="00B35142" w:rsidP="00514CAF">
            <w:r w:rsidRPr="009A234E">
              <w:rPr>
                <w:rFonts w:ascii="Times New Roman" w:eastAsia="Times New Roman" w:hAnsi="Times New Roman" w:cs="Times New Roman"/>
                <w:color w:val="1D1D20"/>
                <w:spacing w:val="-5"/>
                <w:sz w:val="16"/>
                <w:szCs w:val="16"/>
              </w:rPr>
              <w:t>Training enables providers to identify and mitigate implicit biases that affect diagnosis, treatment, and follow-up. Tailored preventive messages and chronic disease management plans based on dietary, religious, or traditional practices increase effectiveness.</w:t>
            </w:r>
          </w:p>
        </w:tc>
        <w:tc>
          <w:tcPr>
            <w:tcW w:w="1558" w:type="dxa"/>
          </w:tcPr>
          <w:p w14:paraId="42EA86E0" w14:textId="77777777" w:rsidR="00B35142" w:rsidRDefault="00B35142" w:rsidP="00514CAF">
            <w:r w:rsidRPr="009A234E">
              <w:rPr>
                <w:rFonts w:ascii="Times New Roman" w:eastAsia="Times New Roman" w:hAnsi="Times New Roman" w:cs="Times New Roman"/>
                <w:color w:val="1D1D20"/>
                <w:spacing w:val="-5"/>
                <w:sz w:val="16"/>
                <w:szCs w:val="16"/>
              </w:rPr>
              <w:t>Addresses systemic inequities by promoting equitable care delivery, improving access to preventive services, and increasing treatment acceptance among underserved populations.</w:t>
            </w:r>
          </w:p>
        </w:tc>
        <w:tc>
          <w:tcPr>
            <w:tcW w:w="1558" w:type="dxa"/>
          </w:tcPr>
          <w:p w14:paraId="3A451D69" w14:textId="77777777" w:rsidR="00B35142" w:rsidRDefault="00B35142" w:rsidP="00514CAF">
            <w:r w:rsidRPr="009A234E">
              <w:rPr>
                <w:rFonts w:ascii="Times New Roman" w:eastAsia="Times New Roman" w:hAnsi="Times New Roman" w:cs="Times New Roman"/>
                <w:color w:val="1D1D20"/>
                <w:spacing w:val="-5"/>
                <w:sz w:val="16"/>
                <w:szCs w:val="16"/>
              </w:rPr>
              <w:t>Functions as both a clinical and structural intervention to advance health equity and reduce disparities rooted in race, ethnicity, and socioeconomic status.</w:t>
            </w:r>
          </w:p>
          <w:p w14:paraId="08861D6A" w14:textId="77777777" w:rsidR="00B35142" w:rsidRDefault="00B35142" w:rsidP="00514CAF"/>
          <w:p w14:paraId="1C231DF0" w14:textId="77777777" w:rsidR="00B35142" w:rsidRPr="000D193A" w:rsidRDefault="00B35142" w:rsidP="00514CAF"/>
        </w:tc>
        <w:tc>
          <w:tcPr>
            <w:tcW w:w="1559" w:type="dxa"/>
          </w:tcPr>
          <w:p w14:paraId="0A403D08" w14:textId="77777777" w:rsidR="00B35142" w:rsidRDefault="00B35142" w:rsidP="00514CAF">
            <w:r w:rsidRPr="009A234E">
              <w:rPr>
                <w:rFonts w:ascii="Times New Roman" w:eastAsia="Times New Roman" w:hAnsi="Times New Roman" w:cs="Times New Roman"/>
                <w:color w:val="1D1D20"/>
                <w:spacing w:val="-5"/>
                <w:sz w:val="16"/>
                <w:szCs w:val="16"/>
              </w:rPr>
              <w:t>Develop bias recognition programs; tailor public health messaging to cultural contexts; involve community stakeholders in care planning; monitor disparities using stratified outcome data.</w:t>
            </w:r>
          </w:p>
          <w:p w14:paraId="5D722243" w14:textId="77777777" w:rsidR="00B35142" w:rsidRDefault="00B35142" w:rsidP="00514CAF"/>
          <w:p w14:paraId="7E9953AE" w14:textId="77777777" w:rsidR="00B35142" w:rsidRPr="000D193A" w:rsidRDefault="00B35142" w:rsidP="00514CAF"/>
        </w:tc>
        <w:tc>
          <w:tcPr>
            <w:tcW w:w="1559" w:type="dxa"/>
          </w:tcPr>
          <w:p w14:paraId="5B2C3744" w14:textId="77777777" w:rsidR="00B35142" w:rsidRDefault="00B35142" w:rsidP="00514CAF">
            <w:r w:rsidRPr="009A234E">
              <w:rPr>
                <w:rFonts w:ascii="Times New Roman" w:eastAsia="Times New Roman" w:hAnsi="Times New Roman" w:cs="Times New Roman"/>
                <w:color w:val="1D1D20"/>
                <w:spacing w:val="-5"/>
                <w:sz w:val="16"/>
                <w:szCs w:val="16"/>
              </w:rPr>
              <w:t>Reduced racial/ethnic gaps in health outcomes; greater equity in access to preventive and chronic care; enhanced trust in healthcare institutions.</w:t>
            </w:r>
          </w:p>
        </w:tc>
      </w:tr>
      <w:tr w:rsidR="00B35142" w14:paraId="733F3757" w14:textId="77777777" w:rsidTr="00514CAF">
        <w:tc>
          <w:tcPr>
            <w:tcW w:w="1332" w:type="dxa"/>
          </w:tcPr>
          <w:p w14:paraId="223A2C91" w14:textId="77777777" w:rsidR="00B35142" w:rsidRDefault="00B35142" w:rsidP="00514CAF">
            <w:r w:rsidRPr="000504A8">
              <w:rPr>
                <w:rFonts w:ascii="Times New Roman" w:eastAsia="Times New Roman" w:hAnsi="Times New Roman" w:cs="Times New Roman"/>
                <w:color w:val="111827"/>
                <w:spacing w:val="-5"/>
                <w:sz w:val="16"/>
                <w:szCs w:val="16"/>
              </w:rPr>
              <w:t>Effective Training</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Models and</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Implementation</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Strategies</w:t>
            </w:r>
          </w:p>
        </w:tc>
        <w:tc>
          <w:tcPr>
            <w:tcW w:w="1784" w:type="dxa"/>
          </w:tcPr>
          <w:p w14:paraId="2CCC710C" w14:textId="77777777" w:rsidR="00B35142" w:rsidRDefault="00B35142" w:rsidP="00514CAF">
            <w:r w:rsidRPr="009A234E">
              <w:rPr>
                <w:rFonts w:ascii="Times New Roman" w:eastAsia="Times New Roman" w:hAnsi="Times New Roman" w:cs="Times New Roman"/>
                <w:color w:val="1D1D20"/>
                <w:spacing w:val="-5"/>
                <w:sz w:val="16"/>
                <w:szCs w:val="16"/>
              </w:rPr>
              <w:t>Interactive workshops, web-based modules, and self-assessment tools have demonstrated effectiveness in experiential learning. Integration into medical education ensures foundational competency development early in professional training</w:t>
            </w:r>
          </w:p>
        </w:tc>
        <w:tc>
          <w:tcPr>
            <w:tcW w:w="1558" w:type="dxa"/>
          </w:tcPr>
          <w:p w14:paraId="3A199FF1" w14:textId="77777777" w:rsidR="00B35142" w:rsidRDefault="00B35142" w:rsidP="00514CAF">
            <w:r w:rsidRPr="009A234E">
              <w:rPr>
                <w:rFonts w:ascii="Times New Roman" w:eastAsia="Times New Roman" w:hAnsi="Times New Roman" w:cs="Times New Roman"/>
                <w:color w:val="1D1D20"/>
                <w:spacing w:val="-5"/>
                <w:sz w:val="16"/>
                <w:szCs w:val="16"/>
              </w:rPr>
              <w:t>Active learning methods foster deeper reflection and behavioral change, while longitudinal integration supports skill retention and application in real-world settings.</w:t>
            </w:r>
          </w:p>
          <w:p w14:paraId="0419BE71" w14:textId="77777777" w:rsidR="00B35142" w:rsidRDefault="00B35142" w:rsidP="00514CAF"/>
          <w:p w14:paraId="6AAB9904" w14:textId="77777777" w:rsidR="00B35142" w:rsidRPr="000D193A" w:rsidRDefault="00B35142" w:rsidP="00514CAF"/>
        </w:tc>
        <w:tc>
          <w:tcPr>
            <w:tcW w:w="1558" w:type="dxa"/>
          </w:tcPr>
          <w:p w14:paraId="541A0F7C" w14:textId="77777777" w:rsidR="00B35142" w:rsidRPr="000D193A" w:rsidRDefault="00B35142" w:rsidP="00514CAF">
            <w:r w:rsidRPr="009A234E">
              <w:rPr>
                <w:rFonts w:ascii="Times New Roman" w:eastAsia="Times New Roman" w:hAnsi="Times New Roman" w:cs="Times New Roman"/>
                <w:color w:val="1D1D20"/>
                <w:spacing w:val="-5"/>
                <w:sz w:val="16"/>
                <w:szCs w:val="16"/>
              </w:rPr>
              <w:t>Suggests a shift from one-time training toward continuous, competency-based education aligned with professional development frameworks like Entrustable Professional Activities (EPAs).</w:t>
            </w:r>
          </w:p>
        </w:tc>
        <w:tc>
          <w:tcPr>
            <w:tcW w:w="1559" w:type="dxa"/>
          </w:tcPr>
          <w:p w14:paraId="06D0EA82" w14:textId="77777777" w:rsidR="00B35142" w:rsidRDefault="00B35142" w:rsidP="00514CAF">
            <w:r w:rsidRPr="009A234E">
              <w:rPr>
                <w:rFonts w:ascii="Times New Roman" w:eastAsia="Times New Roman" w:hAnsi="Times New Roman" w:cs="Times New Roman"/>
                <w:color w:val="1D1D20"/>
                <w:spacing w:val="-5"/>
                <w:sz w:val="16"/>
                <w:szCs w:val="16"/>
              </w:rPr>
              <w:t>Combine simulation, case-based discussion, mentorship, and digital learning platforms; integrate into accreditation standards and continuing medical education (CME); evaluate progress via reflective practice and peer feedback</w:t>
            </w:r>
          </w:p>
          <w:p w14:paraId="17C12444" w14:textId="77777777" w:rsidR="00B35142" w:rsidRDefault="00B35142" w:rsidP="00514CAF"/>
          <w:p w14:paraId="67991087" w14:textId="77777777" w:rsidR="00B35142" w:rsidRDefault="00B35142" w:rsidP="00514CAF"/>
          <w:p w14:paraId="761C0459" w14:textId="77777777" w:rsidR="00B35142" w:rsidRPr="000D193A" w:rsidRDefault="00B35142" w:rsidP="00514CAF"/>
        </w:tc>
        <w:tc>
          <w:tcPr>
            <w:tcW w:w="1559" w:type="dxa"/>
          </w:tcPr>
          <w:p w14:paraId="2BDFCD75" w14:textId="77777777" w:rsidR="00B35142" w:rsidRDefault="00B35142" w:rsidP="00514CAF">
            <w:r w:rsidRPr="009A234E">
              <w:rPr>
                <w:rFonts w:ascii="Times New Roman" w:eastAsia="Times New Roman" w:hAnsi="Times New Roman" w:cs="Times New Roman"/>
                <w:color w:val="1D1D20"/>
                <w:spacing w:val="-5"/>
                <w:sz w:val="16"/>
                <w:szCs w:val="16"/>
              </w:rPr>
              <w:t>Development of a sustainable, culturally competent workforce across career stages; institutional normalization of cross-cultural skills.</w:t>
            </w:r>
          </w:p>
          <w:p w14:paraId="43D9D68C" w14:textId="77777777" w:rsidR="00B35142" w:rsidRDefault="00B35142" w:rsidP="00514CAF"/>
          <w:p w14:paraId="170898EC" w14:textId="77777777" w:rsidR="00B35142" w:rsidRDefault="00B35142" w:rsidP="00514CAF"/>
          <w:p w14:paraId="3FDF43F7" w14:textId="77777777" w:rsidR="00B35142" w:rsidRPr="000D193A" w:rsidRDefault="00B35142" w:rsidP="00514CAF"/>
        </w:tc>
      </w:tr>
      <w:tr w:rsidR="00B35142" w14:paraId="3798704B" w14:textId="77777777" w:rsidTr="00514CAF">
        <w:tc>
          <w:tcPr>
            <w:tcW w:w="1332" w:type="dxa"/>
          </w:tcPr>
          <w:p w14:paraId="5B3AF1ED" w14:textId="77777777" w:rsidR="00B35142" w:rsidRDefault="00B35142" w:rsidP="00514CAF">
            <w:r w:rsidRPr="000504A8">
              <w:rPr>
                <w:rFonts w:ascii="Times New Roman" w:eastAsia="Times New Roman" w:hAnsi="Times New Roman" w:cs="Times New Roman"/>
                <w:color w:val="111827"/>
                <w:spacing w:val="-5"/>
                <w:sz w:val="16"/>
                <w:szCs w:val="16"/>
              </w:rPr>
              <w:t>Cost-Effectiveness</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and Scalability</w:t>
            </w:r>
          </w:p>
        </w:tc>
        <w:tc>
          <w:tcPr>
            <w:tcW w:w="1784" w:type="dxa"/>
          </w:tcPr>
          <w:p w14:paraId="7F5FEB88" w14:textId="77777777" w:rsidR="00B35142" w:rsidRDefault="00B35142" w:rsidP="00514CAF">
            <w:r w:rsidRPr="009A234E">
              <w:rPr>
                <w:rFonts w:ascii="Times New Roman" w:eastAsia="Times New Roman" w:hAnsi="Times New Roman" w:cs="Times New Roman"/>
                <w:color w:val="1D1D20"/>
                <w:spacing w:val="-5"/>
                <w:sz w:val="16"/>
                <w:szCs w:val="16"/>
              </w:rPr>
              <w:t xml:space="preserve">Despite initial investment, cultural competence training leads to lower hospital readmissions, improved chronic disease control, and efficient resource utilization. Digital platforms and peer-led </w:t>
            </w:r>
            <w:r w:rsidRPr="009A234E">
              <w:rPr>
                <w:rFonts w:ascii="Times New Roman" w:eastAsia="Times New Roman" w:hAnsi="Times New Roman" w:cs="Times New Roman"/>
                <w:color w:val="1D1D20"/>
                <w:spacing w:val="-5"/>
                <w:sz w:val="16"/>
                <w:szCs w:val="16"/>
              </w:rPr>
              <w:lastRenderedPageBreak/>
              <w:t>sessions enable scalable implementation.</w:t>
            </w:r>
          </w:p>
        </w:tc>
        <w:tc>
          <w:tcPr>
            <w:tcW w:w="1558" w:type="dxa"/>
          </w:tcPr>
          <w:p w14:paraId="1DDBC9D4" w14:textId="77777777" w:rsidR="00B35142" w:rsidRDefault="00B35142" w:rsidP="00514CAF">
            <w:r w:rsidRPr="009A234E">
              <w:rPr>
                <w:rFonts w:ascii="Times New Roman" w:eastAsia="Times New Roman" w:hAnsi="Times New Roman" w:cs="Times New Roman"/>
                <w:color w:val="1D1D20"/>
                <w:spacing w:val="-5"/>
                <w:sz w:val="16"/>
                <w:szCs w:val="16"/>
              </w:rPr>
              <w:lastRenderedPageBreak/>
              <w:t>Improved communication and trust enhance care efficiency, reduce avoidable admissions, and support cost-effective service delivery.</w:t>
            </w:r>
          </w:p>
        </w:tc>
        <w:tc>
          <w:tcPr>
            <w:tcW w:w="1558" w:type="dxa"/>
          </w:tcPr>
          <w:p w14:paraId="13DA8297" w14:textId="77777777" w:rsidR="00B35142" w:rsidRDefault="00B35142" w:rsidP="00514CAF">
            <w:r w:rsidRPr="009A234E">
              <w:rPr>
                <w:rFonts w:ascii="Times New Roman" w:eastAsia="Times New Roman" w:hAnsi="Times New Roman" w:cs="Times New Roman"/>
                <w:color w:val="1D1D20"/>
                <w:spacing w:val="-5"/>
                <w:sz w:val="16"/>
                <w:szCs w:val="16"/>
              </w:rPr>
              <w:t xml:space="preserve">Demonstrates economic value when aligned with implementation science frameworks such as RE-AIM (Reach, Effectiveness, Adoption, Implementation, Maintenance) and </w:t>
            </w:r>
            <w:r w:rsidRPr="009A234E">
              <w:rPr>
                <w:rFonts w:ascii="Times New Roman" w:eastAsia="Times New Roman" w:hAnsi="Times New Roman" w:cs="Times New Roman"/>
                <w:color w:val="1D1D20"/>
                <w:spacing w:val="-5"/>
                <w:sz w:val="16"/>
                <w:szCs w:val="16"/>
              </w:rPr>
              <w:lastRenderedPageBreak/>
              <w:t>CFIR (Consolidated Framework for Implementation Research).</w:t>
            </w:r>
          </w:p>
          <w:p w14:paraId="40D093A7" w14:textId="77777777" w:rsidR="00B35142" w:rsidRDefault="00B35142" w:rsidP="00514CAF"/>
          <w:p w14:paraId="1CBD3B5F" w14:textId="77777777" w:rsidR="00B35142" w:rsidRPr="000D193A" w:rsidRDefault="00B35142" w:rsidP="00514CAF"/>
        </w:tc>
        <w:tc>
          <w:tcPr>
            <w:tcW w:w="1559" w:type="dxa"/>
          </w:tcPr>
          <w:p w14:paraId="229B6CDA" w14:textId="77777777" w:rsidR="00B35142" w:rsidRPr="000D193A" w:rsidRDefault="00B35142" w:rsidP="00514CAF">
            <w:r w:rsidRPr="009A234E">
              <w:rPr>
                <w:rFonts w:ascii="Times New Roman" w:eastAsia="Times New Roman" w:hAnsi="Times New Roman" w:cs="Times New Roman"/>
                <w:color w:val="1D1D20"/>
                <w:spacing w:val="-5"/>
                <w:sz w:val="16"/>
                <w:szCs w:val="16"/>
              </w:rPr>
              <w:lastRenderedPageBreak/>
              <w:t xml:space="preserve">Invest in scalable e-learning infrastructures; develop modular, condition-specific training (e.g., diabetes, maternal care); link training outcomes to </w:t>
            </w:r>
            <w:r w:rsidRPr="009A234E">
              <w:rPr>
                <w:rFonts w:ascii="Times New Roman" w:eastAsia="Times New Roman" w:hAnsi="Times New Roman" w:cs="Times New Roman"/>
                <w:color w:val="1D1D20"/>
                <w:spacing w:val="-5"/>
                <w:sz w:val="16"/>
                <w:szCs w:val="16"/>
              </w:rPr>
              <w:lastRenderedPageBreak/>
              <w:t>financial incentives or quality metrics.</w:t>
            </w:r>
          </w:p>
        </w:tc>
        <w:tc>
          <w:tcPr>
            <w:tcW w:w="1559" w:type="dxa"/>
          </w:tcPr>
          <w:p w14:paraId="3FABA9A8" w14:textId="77777777" w:rsidR="00B35142" w:rsidRPr="000D193A" w:rsidRDefault="00B35142" w:rsidP="00514CAF">
            <w:r w:rsidRPr="009A234E">
              <w:rPr>
                <w:rFonts w:ascii="Times New Roman" w:eastAsia="Times New Roman" w:hAnsi="Times New Roman" w:cs="Times New Roman"/>
                <w:color w:val="1D1D20"/>
                <w:spacing w:val="-5"/>
                <w:sz w:val="16"/>
                <w:szCs w:val="16"/>
              </w:rPr>
              <w:lastRenderedPageBreak/>
              <w:t>Long-term reduction in healthcare costs; improved system-wide efficiency; broader reach through adaptable, technology-enabled models.</w:t>
            </w:r>
          </w:p>
        </w:tc>
      </w:tr>
      <w:tr w:rsidR="00B35142" w14:paraId="7558A5AA" w14:textId="77777777" w:rsidTr="00514CAF">
        <w:tc>
          <w:tcPr>
            <w:tcW w:w="1332" w:type="dxa"/>
          </w:tcPr>
          <w:p w14:paraId="6E18B40D" w14:textId="77777777" w:rsidR="00B35142" w:rsidRDefault="00B35142" w:rsidP="00514CAF">
            <w:r w:rsidRPr="000504A8">
              <w:rPr>
                <w:rFonts w:ascii="Times New Roman" w:eastAsia="Times New Roman" w:hAnsi="Times New Roman" w:cs="Times New Roman"/>
                <w:color w:val="111827"/>
                <w:spacing w:val="-5"/>
                <w:sz w:val="16"/>
                <w:szCs w:val="16"/>
              </w:rPr>
              <w:lastRenderedPageBreak/>
              <w:t>Challenges and Recommendations</w:t>
            </w:r>
            <w:r w:rsidRPr="009A234E">
              <w:rPr>
                <w:rFonts w:ascii="Times New Roman" w:eastAsia="Times New Roman" w:hAnsi="Times New Roman" w:cs="Times New Roman"/>
                <w:color w:val="111827"/>
                <w:spacing w:val="-5"/>
                <w:sz w:val="16"/>
                <w:szCs w:val="16"/>
                <w:bdr w:val="single" w:sz="2" w:space="0" w:color="E3E3E3" w:frame="1"/>
              </w:rPr>
              <w:t xml:space="preserve"> </w:t>
            </w:r>
            <w:r w:rsidRPr="000504A8">
              <w:rPr>
                <w:rFonts w:ascii="Times New Roman" w:eastAsia="Times New Roman" w:hAnsi="Times New Roman" w:cs="Times New Roman"/>
                <w:color w:val="111827"/>
                <w:spacing w:val="-5"/>
                <w:sz w:val="16"/>
                <w:szCs w:val="16"/>
              </w:rPr>
              <w:t>for Improvement</w:t>
            </w:r>
          </w:p>
        </w:tc>
        <w:tc>
          <w:tcPr>
            <w:tcW w:w="1784" w:type="dxa"/>
          </w:tcPr>
          <w:p w14:paraId="44C04983" w14:textId="77777777" w:rsidR="00B35142" w:rsidRDefault="00B35142" w:rsidP="00514CAF">
            <w:pPr>
              <w:tabs>
                <w:tab w:val="left" w:pos="837"/>
              </w:tabs>
            </w:pPr>
            <w:r w:rsidRPr="009A234E">
              <w:rPr>
                <w:rFonts w:ascii="Times New Roman" w:eastAsia="Times New Roman" w:hAnsi="Times New Roman" w:cs="Times New Roman"/>
                <w:color w:val="1D1D20"/>
                <w:spacing w:val="-5"/>
                <w:sz w:val="16"/>
                <w:szCs w:val="16"/>
              </w:rPr>
              <w:t>Lack of standardized competencies, inconsistent evaluation methods, and limited reinforcement m</w:t>
            </w:r>
            <w:r w:rsidRPr="009A234E">
              <w:rPr>
                <w:rFonts w:ascii="Times New Roman" w:hAnsi="Times New Roman" w:cs="Times New Roman"/>
                <w:color w:val="1D1D20"/>
                <w:spacing w:val="-4"/>
                <w:sz w:val="16"/>
                <w:szCs w:val="16"/>
                <w:shd w:val="clear" w:color="auto" w:fill="FFFFFF"/>
              </w:rPr>
              <w:t>echanisms hinder sustainability. Single-session trainings often fail to produce lasting behavioral change without ongoing support.</w:t>
            </w:r>
            <w:r>
              <w:tab/>
            </w:r>
          </w:p>
        </w:tc>
        <w:tc>
          <w:tcPr>
            <w:tcW w:w="1558" w:type="dxa"/>
          </w:tcPr>
          <w:p w14:paraId="1FD10AEC" w14:textId="77777777" w:rsidR="00B35142" w:rsidRDefault="00B35142" w:rsidP="00514CAF">
            <w:r w:rsidRPr="009A234E">
              <w:rPr>
                <w:rFonts w:ascii="Times New Roman" w:hAnsi="Times New Roman" w:cs="Times New Roman"/>
                <w:color w:val="1D1D20"/>
                <w:spacing w:val="-5"/>
                <w:sz w:val="16"/>
                <w:szCs w:val="16"/>
              </w:rPr>
              <w:t>Without structural integration, cultural competence remains a fragmented initiative rather than a systemic transformation of</w:t>
            </w:r>
          </w:p>
          <w:p w14:paraId="319CBB87" w14:textId="77777777" w:rsidR="00B35142" w:rsidRPr="000D193A" w:rsidRDefault="00B35142" w:rsidP="00514CAF"/>
          <w:p w14:paraId="64D301EF" w14:textId="77777777" w:rsidR="00B35142" w:rsidRDefault="00B35142" w:rsidP="00514CAF"/>
          <w:p w14:paraId="0DFE0A24" w14:textId="77777777" w:rsidR="00B35142" w:rsidRDefault="00B35142" w:rsidP="00514CAF"/>
          <w:p w14:paraId="65D7B229" w14:textId="77777777" w:rsidR="00B35142" w:rsidRPr="000D193A" w:rsidRDefault="00B35142" w:rsidP="00514CAF"/>
        </w:tc>
        <w:tc>
          <w:tcPr>
            <w:tcW w:w="1558" w:type="dxa"/>
          </w:tcPr>
          <w:p w14:paraId="1EDAB9BF" w14:textId="77777777" w:rsidR="00B35142" w:rsidRPr="000D193A" w:rsidRDefault="00B35142" w:rsidP="00514CAF">
            <w:r w:rsidRPr="009A234E">
              <w:rPr>
                <w:rFonts w:ascii="Times New Roman" w:hAnsi="Times New Roman" w:cs="Times New Roman"/>
                <w:color w:val="1D1D20"/>
                <w:spacing w:val="-5"/>
                <w:sz w:val="16"/>
                <w:szCs w:val="16"/>
              </w:rPr>
              <w:t>Highlights the need for institutional reforms grounded in organizational behavior theory, including culture change, leadership commitment, and policy alignment.</w:t>
            </w:r>
          </w:p>
        </w:tc>
        <w:tc>
          <w:tcPr>
            <w:tcW w:w="1559" w:type="dxa"/>
          </w:tcPr>
          <w:p w14:paraId="4814889D" w14:textId="77777777" w:rsidR="00B35142" w:rsidRDefault="00B35142" w:rsidP="00514CAF">
            <w:r w:rsidRPr="009A234E">
              <w:rPr>
                <w:rFonts w:ascii="Times New Roman" w:hAnsi="Times New Roman" w:cs="Times New Roman"/>
                <w:color w:val="1D1D20"/>
                <w:spacing w:val="-5"/>
                <w:sz w:val="16"/>
                <w:szCs w:val="16"/>
              </w:rPr>
              <w:t>Establish national or international accreditation standards; implement longitudinal learning models; embed cultural competence into performance reviews, faculty development, and anti-discrimination policies.</w:t>
            </w:r>
          </w:p>
          <w:p w14:paraId="56C9B9AA" w14:textId="77777777" w:rsidR="00B35142" w:rsidRDefault="00B35142" w:rsidP="00514CAF"/>
          <w:p w14:paraId="13E4854E" w14:textId="77777777" w:rsidR="00B35142" w:rsidRDefault="00B35142" w:rsidP="00514CAF"/>
          <w:p w14:paraId="40DAACF2" w14:textId="77777777" w:rsidR="00B35142" w:rsidRPr="000D193A" w:rsidRDefault="00B35142" w:rsidP="00514CAF"/>
        </w:tc>
        <w:tc>
          <w:tcPr>
            <w:tcW w:w="1559" w:type="dxa"/>
          </w:tcPr>
          <w:p w14:paraId="20298ED1" w14:textId="77777777" w:rsidR="00B35142" w:rsidRDefault="00B35142" w:rsidP="00514CAF">
            <w:r w:rsidRPr="009A234E">
              <w:rPr>
                <w:rFonts w:ascii="Times New Roman" w:hAnsi="Times New Roman" w:cs="Times New Roman"/>
                <w:color w:val="1D1D20"/>
                <w:spacing w:val="-5"/>
                <w:sz w:val="16"/>
                <w:szCs w:val="16"/>
              </w:rPr>
              <w:t>Institutionalization of cultural competence as a core competency; sustained improvements in provider behavior and patient outcomes across diverse settings.</w:t>
            </w:r>
          </w:p>
        </w:tc>
      </w:tr>
    </w:tbl>
    <w:p w14:paraId="02222080" w14:textId="5BA946D7" w:rsidR="006250EF" w:rsidRDefault="00B35142" w:rsidP="00B35142">
      <w:pPr>
        <w:widowControl w:val="0"/>
        <w:tabs>
          <w:tab w:val="left" w:pos="7655"/>
        </w:tabs>
        <w:spacing w:before="98" w:after="0" w:line="240" w:lineRule="auto"/>
        <w:ind w:right="-2"/>
        <w:jc w:val="both"/>
        <w:rPr>
          <w:rFonts w:ascii="Times New Roman" w:hAnsi="Times New Roman" w:cs="Times New Roman"/>
        </w:rPr>
      </w:pPr>
      <w:r w:rsidRPr="00497823">
        <w:rPr>
          <w:rFonts w:ascii="Times New Roman" w:hAnsi="Times New Roman" w:cs="Times New Roman"/>
        </w:rPr>
        <w:t>Table 1 outlines how cultural competence training enhances healthcare delivery in multicultural settings by improving communication, patient satisfaction, and health equity. The training equips healthcare providers with the skills to understand and respond to diverse health beliefs, verbal and non-verbal communication st</w:t>
      </w:r>
      <w:r>
        <w:rPr>
          <w:rFonts w:ascii="Times New Roman" w:hAnsi="Times New Roman" w:cs="Times New Roman"/>
        </w:rPr>
        <w:t xml:space="preserve">yles, and cultural expectations </w:t>
      </w:r>
      <w:r w:rsidRPr="00497823">
        <w:rPr>
          <w:rFonts w:ascii="Times New Roman" w:hAnsi="Times New Roman" w:cs="Times New Roman"/>
        </w:rPr>
        <w:t>thereby building trust, enhancing diagnostic accuracy, and promoting treatment adherence. These benefits are especially meaningful for minority patients, who report higher satisfaction and greater engagement when care is respectful, inclusive, and culturally responsive. At a systemic level, cultural competence supports equity by helping providers identify and address implicit biases, while enabling the development of preventive and chronic care strategies tailored to patients’ sociocultural contexts, including dietary habits, religious practices, and traditional health beliefs. Successful implementation requires a multi-modal approach combining experiential learning, digital tools, mentorship, and integration into both medical education and continuing professional development. While initial costs exist, evidence increasingly demonstrates long-term cost-effectiveness through reduced hospitalizations, improved disease management, and more effi</w:t>
      </w:r>
      <w:r>
        <w:rPr>
          <w:rFonts w:ascii="Times New Roman" w:hAnsi="Times New Roman" w:cs="Times New Roman"/>
        </w:rPr>
        <w:t xml:space="preserve">cient resource use </w:t>
      </w:r>
      <w:r w:rsidRPr="00497823">
        <w:rPr>
          <w:rFonts w:ascii="Times New Roman" w:hAnsi="Times New Roman" w:cs="Times New Roman"/>
        </w:rPr>
        <w:t xml:space="preserve">particularly with scalable, technology-driven models. However, inconsistent frameworks and limited standardization remain barriers to broad </w:t>
      </w:r>
      <w:r>
        <w:rPr>
          <w:rFonts w:ascii="Times New Roman" w:hAnsi="Times New Roman" w:cs="Times New Roman"/>
        </w:rPr>
        <w:t xml:space="preserve">adoption. Institutional reforms </w:t>
      </w:r>
      <w:r w:rsidRPr="00497823">
        <w:rPr>
          <w:rFonts w:ascii="Times New Roman" w:hAnsi="Times New Roman" w:cs="Times New Roman"/>
        </w:rPr>
        <w:t>including national accreditation standards, longitudinal competency-based curricula, and integration into performance evaluations a</w:t>
      </w:r>
      <w:r>
        <w:rPr>
          <w:rFonts w:ascii="Times New Roman" w:hAnsi="Times New Roman" w:cs="Times New Roman"/>
        </w:rPr>
        <w:t xml:space="preserve">nd anti-discrimination policies </w:t>
      </w:r>
      <w:r w:rsidRPr="00497823">
        <w:rPr>
          <w:rFonts w:ascii="Times New Roman" w:hAnsi="Times New Roman" w:cs="Times New Roman"/>
        </w:rPr>
        <w:t>are critical to ensuring sustainability. When effectively implemented, cultural competence training becomes a cornerstone of equitable, high-quality, patient-centered care in today’s diverse healthcare systems.</w:t>
      </w:r>
    </w:p>
    <w:p w14:paraId="40834A94" w14:textId="77777777" w:rsidR="00B35142" w:rsidRDefault="00B35142" w:rsidP="00B35142">
      <w:pPr>
        <w:widowControl w:val="0"/>
        <w:tabs>
          <w:tab w:val="left" w:pos="7655"/>
        </w:tabs>
        <w:spacing w:before="98" w:after="0" w:line="240" w:lineRule="auto"/>
        <w:ind w:right="-2"/>
        <w:jc w:val="both"/>
        <w:rPr>
          <w:rFonts w:ascii="Times New Roman" w:eastAsia="Times New Roman" w:hAnsi="Times New Roman" w:cs="Times New Roman"/>
          <w:b/>
        </w:rPr>
      </w:pPr>
    </w:p>
    <w:p w14:paraId="72458B44" w14:textId="750ECBEF" w:rsidR="006250EF" w:rsidRDefault="00B35142">
      <w:pPr>
        <w:widowControl w:val="0"/>
        <w:spacing w:before="98" w:after="0" w:line="240" w:lineRule="auto"/>
        <w:ind w:left="1365" w:right="1366"/>
        <w:jc w:val="center"/>
        <w:rPr>
          <w:rFonts w:ascii="Times New Roman" w:eastAsia="Times New Roman" w:hAnsi="Times New Roman" w:cs="Times New Roman"/>
          <w:b/>
        </w:rPr>
      </w:pPr>
      <w:r>
        <w:rPr>
          <w:rFonts w:ascii="Times New Roman" w:eastAsia="Times New Roman" w:hAnsi="Times New Roman" w:cs="Times New Roman"/>
          <w:b/>
        </w:rPr>
        <w:t>DISCUSSION</w:t>
      </w:r>
    </w:p>
    <w:p w14:paraId="2ACCCACE" w14:textId="77777777" w:rsidR="00B35142" w:rsidRDefault="00B35142" w:rsidP="00B35142">
      <w:pPr>
        <w:jc w:val="both"/>
        <w:rPr>
          <w:rFonts w:ascii="Times New Roman" w:hAnsi="Times New Roman" w:cs="Times New Roman"/>
        </w:rPr>
      </w:pPr>
      <w:r w:rsidRPr="00B374BE">
        <w:rPr>
          <w:rFonts w:ascii="Times New Roman" w:hAnsi="Times New Roman" w:cs="Times New Roman"/>
        </w:rPr>
        <w:t xml:space="preserve">The findings of this systematic review underscore the critical role of cultural competence training in enhancing healthcare delivery across multiple domains, including communication, patient satisfaction, health equity, and cost-effectiveness. As global migration patterns continue to diversify patient populations, healthcare providers face increasing demands to deliver care that is respectful, inclusive, and responsive to sociocultural differences. The synthesis of evidence presented here demonstrates that structured cultural competence interventions not only improve clinical interactions but also contribute to broader systemic reforms aimed at reducing disparities and promoting equitable outcomes. Grounded </w:t>
      </w:r>
      <w:r w:rsidRPr="00B374BE">
        <w:rPr>
          <w:rFonts w:ascii="Times New Roman" w:hAnsi="Times New Roman" w:cs="Times New Roman"/>
        </w:rPr>
        <w:lastRenderedPageBreak/>
        <w:t>in implementation science frameworks such as CFIR and NPT, this review identifies key mechanisms of change and implementation strategies that are essential for embedding cultural competence into both individual practice and institutional culture.</w:t>
      </w:r>
    </w:p>
    <w:p w14:paraId="0D8CFC7B" w14:textId="322B9C8F" w:rsidR="00B35142" w:rsidRPr="00B374BE" w:rsidRDefault="00B35142" w:rsidP="00B35142">
      <w:pPr>
        <w:jc w:val="both"/>
        <w:rPr>
          <w:rFonts w:ascii="Times New Roman" w:hAnsi="Times New Roman" w:cs="Times New Roman"/>
        </w:rPr>
      </w:pPr>
      <w:r w:rsidRPr="00B374BE">
        <w:rPr>
          <w:rFonts w:ascii="Times New Roman" w:hAnsi="Times New Roman" w:cs="Times New Roman"/>
        </w:rPr>
        <w:t>A central finding of this review is the consistent positive impact of cultural competence training on doctor–patient communication, mediated through enhanced cultural awareness, reduced implicit bias, and increased empathy</w:t>
      </w:r>
      <w:r w:rsidR="00B32E7A">
        <w:rPr>
          <w:rFonts w:ascii="Times New Roman" w:hAnsi="Times New Roman" w:cs="Times New Roman"/>
        </w:rPr>
        <w:fldChar w:fldCharType="begin" w:fldLock="1"/>
      </w:r>
      <w:r w:rsidR="00B32E7A">
        <w:rPr>
          <w:rFonts w:ascii="Times New Roman" w:hAnsi="Times New Roman" w:cs="Times New Roman"/>
        </w:rPr>
        <w:instrText>ADDIN CSL_CITATION {"citationItems":[{"id":"ITEM-1","itemData":{"author":[{"dropping-particle":"","family":"Chung","given":"SeonYoon","non-dropping-particle":"","parse-names":false,"suffix":""},{"dropping-particle":"","family":"Jarvill","given":"Melissa","non-dropping-particle":"","parse-names":false,"suffix":""}],"container-title":"Journal of Nursing Education and Practice","id":"ITEM-1","issued":{"date-parts":[["2019"]]},"title":"Improving nursing student cultural competence: Comparing simulation to case-based learning","type":"article-journal"},"uris":["http://www.mendeley.com/documents/?uuid=798418f1-be5a-4cc8-b306-cc85820008d9"]}],"mendeley":{"formattedCitation":"(Chung &amp; Jarvill, 2019)","plainTextFormattedCitation":"(Chung &amp; Jarvill, 2019)","previouslyFormattedCitation":"(Chung &amp; Jarvill, 2019)"},"properties":{"noteIndex":0},"schema":"https://github.com/citation-style-language/schema/raw/master/csl-citation.json"}</w:instrText>
      </w:r>
      <w:r w:rsidR="00B32E7A">
        <w:rPr>
          <w:rFonts w:ascii="Times New Roman" w:hAnsi="Times New Roman" w:cs="Times New Roman"/>
        </w:rPr>
        <w:fldChar w:fldCharType="separate"/>
      </w:r>
      <w:r w:rsidR="00B32E7A" w:rsidRPr="00B32E7A">
        <w:rPr>
          <w:rFonts w:ascii="Times New Roman" w:hAnsi="Times New Roman" w:cs="Times New Roman"/>
          <w:noProof/>
        </w:rPr>
        <w:t>(Chung &amp; Jarvill, 2019)</w:t>
      </w:r>
      <w:r w:rsidR="00B32E7A">
        <w:rPr>
          <w:rFonts w:ascii="Times New Roman" w:hAnsi="Times New Roman" w:cs="Times New Roman"/>
        </w:rPr>
        <w:fldChar w:fldCharType="end"/>
      </w:r>
      <w:r w:rsidRPr="00B374BE">
        <w:rPr>
          <w:rFonts w:ascii="Times New Roman" w:hAnsi="Times New Roman" w:cs="Times New Roman"/>
        </w:rPr>
        <w:t>. These cognitive and emotional shifts were found to be particularly salient in encounters with racial and ethnic minority patients, who frequently report feeling misunderstood or marginalized within mainstream healthcare systems</w:t>
      </w:r>
      <w:r w:rsidR="00B32E7A">
        <w:rPr>
          <w:rFonts w:ascii="Times New Roman" w:hAnsi="Times New Roman" w:cs="Times New Roman"/>
        </w:rPr>
        <w:fldChar w:fldCharType="begin" w:fldLock="1"/>
      </w:r>
      <w:r w:rsidR="00B32E7A">
        <w:rPr>
          <w:rFonts w:ascii="Times New Roman" w:hAnsi="Times New Roman" w:cs="Times New Roman"/>
        </w:rPr>
        <w:instrText>ADDIN CSL_CITATION {"citationItems":[{"id":"ITEM-1","itemData":{"author":[{"dropping-particle":"","family":"Skjerve","given":"Hilde","non-dropping-particle":"","parse-names":false,"suffix":""},{"dropping-particle":"","family":"Braaum","given":"Lars Erik","non-dropping-particle":"","parse-names":false,"suffix":""},{"dropping-particle":"","family":"Goth","given":"U","non-dropping-particle":"","parse-names":false,"suffix":""},{"dropping-particle":"","family":"Sørensen","given":"Anette","non-dropping-particle":"","parse-names":false,"suffix":""}],"container-title":"International Journal of Environmental Research and Public Health","id":"ITEM-1","issued":{"date-parts":[["2023"]]},"title":"Using Simulations to Help Public Health Students Overcome Language Barriers for Better Health Outcomes","type":"article-journal"},"uris":["http://www.mendeley.com/documents/?uuid=97e187fe-5e4f-4f82-968e-66b707eb6d1f"]}],"mendeley":{"formattedCitation":"(Skjerve et al., 2023)","plainTextFormattedCitation":"(Skjerve et al., 2023)","previouslyFormattedCitation":"(Skjerve et al., 2023)"},"properties":{"noteIndex":0},"schema":"https://github.com/citation-style-language/schema/raw/master/csl-citation.json"}</w:instrText>
      </w:r>
      <w:r w:rsidR="00B32E7A">
        <w:rPr>
          <w:rFonts w:ascii="Times New Roman" w:hAnsi="Times New Roman" w:cs="Times New Roman"/>
        </w:rPr>
        <w:fldChar w:fldCharType="separate"/>
      </w:r>
      <w:r w:rsidR="00B32E7A" w:rsidRPr="00B32E7A">
        <w:rPr>
          <w:rFonts w:ascii="Times New Roman" w:hAnsi="Times New Roman" w:cs="Times New Roman"/>
          <w:noProof/>
        </w:rPr>
        <w:t>(Skjerve et al., 2023)</w:t>
      </w:r>
      <w:r w:rsidR="00B32E7A">
        <w:rPr>
          <w:rFonts w:ascii="Times New Roman" w:hAnsi="Times New Roman" w:cs="Times New Roman"/>
        </w:rPr>
        <w:fldChar w:fldCharType="end"/>
      </w:r>
      <w:r>
        <w:rPr>
          <w:rFonts w:ascii="Times New Roman" w:hAnsi="Times New Roman" w:cs="Times New Roman"/>
        </w:rPr>
        <w:t xml:space="preserve">. Experiential learning methods  </w:t>
      </w:r>
      <w:r w:rsidRPr="00B374BE">
        <w:rPr>
          <w:rFonts w:ascii="Times New Roman" w:hAnsi="Times New Roman" w:cs="Times New Roman"/>
        </w:rPr>
        <w:t>including simulation-based training, case-based discu</w:t>
      </w:r>
      <w:r>
        <w:rPr>
          <w:rFonts w:ascii="Times New Roman" w:hAnsi="Times New Roman" w:cs="Times New Roman"/>
        </w:rPr>
        <w:t xml:space="preserve">ssions, and mentorship programs </w:t>
      </w:r>
      <w:r w:rsidRPr="00B374BE">
        <w:rPr>
          <w:rFonts w:ascii="Times New Roman" w:hAnsi="Times New Roman" w:cs="Times New Roman"/>
        </w:rPr>
        <w:t>emerged as especially effective modalities for cultivating these competencies, aligning with the principles of the Behavior Change Wheel (BCW), which emphasizes capability, opportunity, and motivation as prerequisites for sustained behavior change</w:t>
      </w:r>
      <w:r w:rsidR="00B32E7A">
        <w:rPr>
          <w:rFonts w:ascii="Times New Roman" w:hAnsi="Times New Roman" w:cs="Times New Roman"/>
        </w:rPr>
        <w:fldChar w:fldCharType="begin" w:fldLock="1"/>
      </w:r>
      <w:r w:rsidR="00B32E7A">
        <w:rPr>
          <w:rFonts w:ascii="Times New Roman" w:hAnsi="Times New Roman" w:cs="Times New Roman"/>
        </w:rPr>
        <w:instrText>ADDIN CSL_CITATION {"citationItems":[{"id":"ITEM-1","itemData":{"author":[{"dropping-particle":"","family":"Mouboua","given":"Patricia Diane","non-dropping-particle":"","parse-names":false,"suffix":""},{"dropping-particle":"","family":"Atobatele","given":"Fadeke Adeola","non-dropping-particle":"","parse-names":false,"suffix":""},{"dropping-particle":"","family":"Akintayo","given":"Olateju Temitope","non-dropping-particle":"","parse-names":false,"suffix":""}],"container-title":"International Journal of Science and Research Archive","id":"ITEM-1","issued":{"date-parts":[["2024"]]},"title":"Cross-cultural competence in global HRD: Strategies for developing an inclusive and diverse workforce","type":"article-journal"},"uris":["http://www.mendeley.com/documents/?uuid=d8d482b8-4674-4277-8c81-ee1b62bb7fa2"]},{"id":"ITEM-2","itemData":{"author":[{"dropping-particle":"","family":"Mohiyeddini","given":"C","non-dropping-particle":"","parse-names":false,"suffix":""}],"container-title":"Frontiers in Psychology","id":"ITEM-2","issued":{"date-parts":[["2024"]]},"title":"The imperative for cross-cultural medical education in globalized healthcare","type":"article-journal"},"uris":["http://www.mendeley.com/documents/?uuid=904a9ecc-4f82-4a88-a36b-591915319959"]},{"id":"ITEM-3","itemData":{"author":[{"dropping-particle":"","family":"Swaby","given":"Micah E","non-dropping-particle":"","parse-names":false,"suffix":""},{"dropping-particle":"","family":"Anyimadu","given":"Genevieve","non-dropping-particle":"","parse-names":false,"suffix":""},{"dropping-particle":"","family":"Choshi","given":"Modjadji","non-dropping-particle":"","parse-names":false,"suffix":""},{"dropping-particle":"","family":"Belsare","given":"Prajakta","non-dropping-particle":"","parse-names":false,"suffix":""}],"container-title":"Cureus","id":"ITEM-3","issued":{"date-parts":[["2025"]]},"title":"A Mixed-Methods Analysis and Personal Narratives of Black Maternal Health Experiences in the American Healthcare System","type":"article-journal"},"uris":["http://www.mendeley.com/documents/?uuid=d967b411-0d24-4cd0-aa7c-ddc29f646d57"]}],"mendeley":{"formattedCitation":"(Mohiyeddini, 2024; Mouboua et al., 2024; Swaby et al., 2025)","plainTextFormattedCitation":"(Mohiyeddini, 2024; Mouboua et al., 2024; Swaby et al., 2025)","previouslyFormattedCitation":"(Mohiyeddini, 2024; Mouboua et al., 2024; Swaby et al., 2025)"},"properties":{"noteIndex":0},"schema":"https://github.com/citation-style-language/schema/raw/master/csl-citation.json"}</w:instrText>
      </w:r>
      <w:r w:rsidR="00B32E7A">
        <w:rPr>
          <w:rFonts w:ascii="Times New Roman" w:hAnsi="Times New Roman" w:cs="Times New Roman"/>
        </w:rPr>
        <w:fldChar w:fldCharType="separate"/>
      </w:r>
      <w:r w:rsidR="00B32E7A" w:rsidRPr="00B32E7A">
        <w:rPr>
          <w:rFonts w:ascii="Times New Roman" w:hAnsi="Times New Roman" w:cs="Times New Roman"/>
          <w:noProof/>
        </w:rPr>
        <w:t>(Mohiyeddini, 2024; Mouboua et al., 2024; Swaby et al., 2025)</w:t>
      </w:r>
      <w:r w:rsidR="00B32E7A">
        <w:rPr>
          <w:rFonts w:ascii="Times New Roman" w:hAnsi="Times New Roman" w:cs="Times New Roman"/>
        </w:rPr>
        <w:fldChar w:fldCharType="end"/>
      </w:r>
      <w:r w:rsidRPr="00B374BE">
        <w:rPr>
          <w:rFonts w:ascii="Times New Roman" w:hAnsi="Times New Roman" w:cs="Times New Roman"/>
        </w:rPr>
        <w:t>. Notably, the integration of practical tools such as interpreter services and non-verbal cue recognition into standard clinical workflows reinforced skill application, thereby contributing to improved diagnostic accuracy and treatment adherence</w:t>
      </w:r>
      <w:r w:rsidR="00B32E7A">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{"citationItems":[{"id":"ITEM-1","itemData":{"author":[{"dropping-particle":"","family":"Razzaq","given":"Nasir","non-dropping-particle":"","parse-names":false,"suffix":""},{"dropping-particle":"","family":"Khan","given":"Eesha Farzeen","non-dropping-particle":"","parse-names":false,"suffix":""},{"dropping-particle":"","family":"Razzaq","given":"Salma","non-dropping-particle":"","parse-names":false,"suffix":""}],"container-title":"Annals of Innovation in Medicine","id":"ITEM-1","issued":{"date-parts":[["2023"]]},"title":"Analyzing the Role of Language and Religion in Culturally Competent Healthcare: An Interdisciplinary Perspective","type":"article-journal"},"uris":["http://www.mendeley.com/documents/?uuid=816b58a6-4a15-4d69-922c-128aee71b56e"]}],"mendeley":{"formattedCitation":"(Razzaq et al., 2023)","plainTextFormattedCitation":"(Razzaq et al., 2023)","previouslyFormattedCitation":"(Razzaq et al., 2023)"},"properties":{"noteIndex":0},"schema":"https://github.com/citation-style-language/schema/raw/master/csl-citation.json"}</w:instrText>
      </w:r>
      <w:r w:rsidR="00B32E7A">
        <w:rPr>
          <w:rFonts w:ascii="Times New Roman" w:hAnsi="Times New Roman" w:cs="Times New Roman"/>
        </w:rPr>
        <w:fldChar w:fldCharType="separate"/>
      </w:r>
      <w:r w:rsidR="00B32E7A" w:rsidRPr="00B32E7A">
        <w:rPr>
          <w:rFonts w:ascii="Times New Roman" w:hAnsi="Times New Roman" w:cs="Times New Roman"/>
          <w:noProof/>
        </w:rPr>
        <w:t>(Razzaq et al., 2023)</w:t>
      </w:r>
      <w:r w:rsidR="00B32E7A">
        <w:rPr>
          <w:rFonts w:ascii="Times New Roman" w:hAnsi="Times New Roman" w:cs="Times New Roman"/>
        </w:rPr>
        <w:fldChar w:fldCharType="end"/>
      </w:r>
      <w:r w:rsidRPr="00B374BE">
        <w:rPr>
          <w:rFonts w:ascii="Times New Roman" w:hAnsi="Times New Roman" w:cs="Times New Roman"/>
        </w:rPr>
        <w:t>. These outcomes underscore the importance of designing training interventions that bridge theoretical knowledge with actionable skills trans</w:t>
      </w:r>
      <w:r>
        <w:rPr>
          <w:rFonts w:ascii="Times New Roman" w:hAnsi="Times New Roman" w:cs="Times New Roman"/>
        </w:rPr>
        <w:t>ferable to real-world settings.</w:t>
      </w:r>
    </w:p>
    <w:p w14:paraId="74BEC4A3" w14:textId="5FADE016" w:rsidR="00B35142" w:rsidRPr="00B374BE" w:rsidRDefault="00B35142" w:rsidP="00B35142">
      <w:pPr>
        <w:jc w:val="both"/>
        <w:rPr>
          <w:rFonts w:ascii="Times New Roman" w:hAnsi="Times New Roman" w:cs="Times New Roman"/>
        </w:rPr>
      </w:pPr>
      <w:r w:rsidRPr="00B374BE">
        <w:rPr>
          <w:rFonts w:ascii="Times New Roman" w:hAnsi="Times New Roman" w:cs="Times New Roman"/>
        </w:rPr>
        <w:t>This review reveals a strong association between culturally competent care and higher levels of patient satisfaction, particularly when training explicitly addresses core values such as autonomy, respect, and shared decision-making</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{"citationItems":[{"id":"ITEM-1","itemData":{"author":[{"dropping-particle":"","family":"Kumar","given":"Raman K","non-dropping-particle":"","parse-names":false,"suffix":""},{"dropping-particle":"","family":"Bhattacharya","given":"Sudip","non-dropping-particle":"","parse-names":false,"suffix":""},{"dropping-particle":"","family":"Sharma","given":"Neha","non-dropping-particle":"","parse-names":false,"suffix":""},{"dropping-particle":"","family":"Thiyagarajan","given":"A","non-dropping-particle":"","parse-names":false,"suffix":""}],"container-title":"Journal of Family Medicine and Primary Care","id":"ITEM-1","issued":{"date-parts":[["2019"]]},"title":"Cultural competence in family practice and primary care setting","type":"article-journal"},"uris":["http://www.mendeley.com/documents/?uuid=b4bfc932-9a53-45ed-864b-1627d2cb29b1"]}],"mendeley":{"formattedCitation":"(Kumar et al., 2019)","plainTextFormattedCitation":"(Kumar et al., 2019)","previouslyFormattedCitation":"(Kumar et al., 2019)"},"properties":{"noteIndex":0},"schema":"https://github.com/citation-style-language/schema/raw/master/csl-citation.json"}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(Kumar et al., 2019)</w:t>
      </w:r>
      <w:r w:rsidR="005E70D2">
        <w:rPr>
          <w:rFonts w:ascii="Times New Roman" w:hAnsi="Times New Roman" w:cs="Times New Roman"/>
        </w:rPr>
        <w:fldChar w:fldCharType="end"/>
      </w:r>
      <w:r w:rsidRPr="00B374BE">
        <w:rPr>
          <w:rFonts w:ascii="Times New Roman" w:hAnsi="Times New Roman" w:cs="Times New Roman"/>
        </w:rPr>
        <w:t>. Patients from diverse backgrounds reported greater engagement, trust, and adherence to treatment plans when their cultural preferences and decision-making norms were acknowledged and integrated into care delivery</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{"citationItems":[{"id":"ITEM-1","itemData":{"author":[{"dropping-particle":"","family":"Sharmake","given":"Abdi","non-dropping-particle":"","parse-names":false,"suffix":""}],"container-title":"International journal of humanities and social sciences","id":"ITEM-1","issued":{"date-parts":[["2024"]]},"title":"Healthcare Disparities among Socioeconomic Groups","type":"article-journal"},"uris":["http://www.mendeley.com/documents/?uuid=81a76087-ff74-46f5-b626-a60011f05130"]}],"mendeley":{"formattedCitation":"(Sharmake, 2024)","plainTextFormattedCitation":"(Sharmake, 2024)","previouslyFormattedCitation":"(Sharmake,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(Sharmake, 2024)</w:t>
      </w:r>
      <w:r w:rsidR="005E70D2">
        <w:rPr>
          <w:rFonts w:ascii="Times New Roman" w:hAnsi="Times New Roman" w:cs="Times New Roman"/>
        </w:rPr>
        <w:fldChar w:fldCharType="end"/>
      </w:r>
      <w:r w:rsidRPr="00B374BE">
        <w:rPr>
          <w:rFonts w:ascii="Times New Roman" w:hAnsi="Times New Roman" w:cs="Times New Roman"/>
        </w:rPr>
        <w:t>. Importantly, reductions in perceived discrimination and stereotyping were linked to structural components of training, including anti-bias education and the involvement of community stakeholders in curriculum design and implementatio</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{"citationItems":[{"id":"ITEM-1","itemData":{"author":[{"dropping-particle":"","family":"Berhanu","given":"Robera Demissie","non-dropping-particle":"","parse-names":false,"suffix":""},{"dropping-particle":"","family":"Golja","given":"Eba Abdisa","non-dropping-particle":"","parse-names":false,"suffix":""},{"dropping-particle":"","family":"Gudeta","given":"T","non-dropping-particle":"","parse-names":false,"suffix":""},{"dropping-particle":"","family":"Feyisa","given":"Jira Wakoya","non-dropping-particle":"","parse-names":false,"suffix":""},{"dropping-particle":"","family":"Rikitu","given":"Dame Habtamu","non-dropping-particle":"","parse-names":false,"suffix":""},{"dropping-particle":"","family":"Bayane","given":"Yadeta Babu","non-dropping-particle":"","parse-names":false,"suffix":""}],"container-title":"BMC Nursing","id":"ITEM-1","issued":{"date-parts":[["2024"]]},"title":"Cultural sensitivity and associated factors among nurses in southwest Ethiopia: a cross-sectional study","type":"article-journal"},"uris":["http://www.mendeley.com/documents/?uuid=d0cd7fa5-60d3-4109-9ed1-dddd91383e3d"]}],"mendeley":{"formattedCitation":"(Berhanu et al., 2024)","plainTextFormattedCitation":"(Berhanu et al., 2024)","previouslyFormattedCitation":"(Berhanu et al.,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(Berhanu et al., 2024)</w:t>
      </w:r>
      <w:r w:rsidR="005E70D2">
        <w:rPr>
          <w:rFonts w:ascii="Times New Roman" w:hAnsi="Times New Roman" w:cs="Times New Roman"/>
        </w:rPr>
        <w:fldChar w:fldCharType="end"/>
      </w:r>
      <w:r w:rsidRPr="00B374BE">
        <w:rPr>
          <w:rFonts w:ascii="Times New Roman" w:hAnsi="Times New Roman" w:cs="Times New Roman"/>
        </w:rPr>
        <w:t>n. These findings resonate with broader efforts to advance health equity, as culturally responsive models enabled providers to tailor preventive and chronic disease management strategies to patients’ dietary practices, religious beliefs, and traditional health-seeking behaviors</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{"citationItems":[{"id":"ITEM-1","itemData":{"author":[{"dropping-particle":"","family":"Reddy","given":"Swapna B","non-dropping-particle":"","parse-names":false,"suffix":""},{"dropping-particle":"","family":"Speer","given":"Matthew J","non-dropping-particle":"","parse-names":false,"suffix":""},{"dropping-particle":"","family":"Todsen","given":"Jessica","non-dropping-particle":"","parse-names":false,"suffix":""},{"dropping-particle":"","family":"Mutyala","given":"Subhakar","non-dropping-particle":"","parse-names":false,"suffix":""},{"dropping-particle":"","family":"Samadder","given":"Niloy","non-dropping-particle":"","parse-names":false,"suffix":""},{"dropping-particle":"","family":"Moreno","given":"Giovanna G G","non-dropping-particle":"","parse-names":false,"suffix":""},{"dropping-particle":"","family":"Lewis","given":"Yerronda L","non-dropping-particle":"","parse-names":false,"suffix":""},{"dropping-particle":"","family":"Omar","given":"Farhia M","non-dropping-particle":"","parse-names":false,"suffix":""},{"dropping-particle":"","family":"Mishra","given":"Shambhavi","non-dropping-particle":"","parse-names":false,"suffix":""},{"dropping-particle":"","family":"Umar","given":"Sarah B","non-dropping-particle":"","parse-names":false,"suffix":""}],"container-title":"AIMS Medical Science","id":"ITEM-1","issued":{"date-parts":[["2024"]]},"title":"Moving the needle forward in health disparities: An education initiative","type":"article-journal"},"uris":["http://www.mendeley.com/documents/?uuid=f9114b24-4a0a-4970-ae9c-f5344e977450"]},{"id":"ITEM-2","itemData":{"author":[{"dropping-particle":"","family":"Antón-Solanas","given":"Isabel","non-dropping-particle":"","parse-names":false,"suffix":""},{"dropping-particle":"","family":"Tambo-Lizalde","given":"E","non-dropping-particle":"","parse-names":false,"suffix":""},{"dropping-particle":"","family":"Hamam-Alcober","given":"Nadia","non-dropping-particle":"","parse-names":false,"suffix":""},{"dropping-particle":"","family":"Vanceulebroeck","given":"Valérie","non-dropping-particle":"","parse-names":false,"suffix":""},{"dropping-particle":"","family":"Dehaes","given":"Shana","non-dropping-particle":"","parse-names":false,"suffix":""},{"dropping-particle":"","family":"Kalkan","given":"Indrani","non-dropping-particle":"","parse-names":false,"suffix":""},{"dropping-particle":"","family":"Kömürcü","given":"N","non-dropping-particle":"","parse-names":false,"suffix":""},{"dropping-particle":"","family":"Coelho","given":"Margarida","non-dropping-particle":"","parse-names":false,"suffix":""},{"dropping-particle":"","family":"Coelho","given":"Teresa","non-dropping-particle":"","parse-names":false,"suffix":""},{"dropping-particle":"","family":"Nova","given":"Antonio Casa","non-dropping-particle":"","parse-names":false,"suffix":""},{"dropping-particle":"","family":"Cordeiro","given":"R","non-dropping-particle":"","parse-names":false,"suffix":""},{"dropping-particle":"","family":"Sagarra-Romero","given":"Lucía","non-dropping-particle":"","parse-names":false,"suffix":""},{"dropping-particle":"","family":"Subirón-Valera","given":"A B","non-dropping-particle":"","parse-names":false,"suffix":""},{"dropping-particle":"","family":"Huércanos-Esparza","given":"Isabel","non-dropping-particle":"","parse-names":false,"suffix":""}],"container-title":"PLoS ONE","id":"ITEM-2","issued":{"date-parts":[["2021"]]},"title":"Nursing students’ experience of learning cultural competence","type":"article-journal"},"uris":["http://www.mendeley.com/documents/?uuid=8cd23c6b-180c-4c5c-8220-befe9982379b"]}],"mendeley":{"formattedCitation":"(Antón-Solanas et al., 2021; Reddy et al., 2024)","plainTextFormattedCitation":"(Antón-Solanas et al., 2021; Reddy et al., 2024)","previouslyFormattedCitation":"(Antón-Solanas et al., 2021; Reddy et al.,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(Antón-Solanas et al., 2021; Reddy et al., 2024)</w:t>
      </w:r>
      <w:r w:rsidR="005E70D2">
        <w:rPr>
          <w:rFonts w:ascii="Times New Roman" w:hAnsi="Times New Roman" w:cs="Times New Roman"/>
        </w:rPr>
        <w:fldChar w:fldCharType="end"/>
      </w:r>
      <w:r w:rsidRPr="00B374BE">
        <w:rPr>
          <w:rFonts w:ascii="Times New Roman" w:hAnsi="Times New Roman" w:cs="Times New Roman"/>
        </w:rPr>
        <w:t>. By targeting both provider attitudes and institutional structures, cultural competence training f</w:t>
      </w:r>
      <w:r>
        <w:rPr>
          <w:rFonts w:ascii="Times New Roman" w:hAnsi="Times New Roman" w:cs="Times New Roman"/>
        </w:rPr>
        <w:t xml:space="preserve">unctions as a dual intervention </w:t>
      </w:r>
      <w:r w:rsidRPr="00B374BE">
        <w:rPr>
          <w:rFonts w:ascii="Times New Roman" w:hAnsi="Times New Roman" w:cs="Times New Roman"/>
        </w:rPr>
        <w:t>simultaneously influencing clinical practice and</w:t>
      </w:r>
      <w:r>
        <w:rPr>
          <w:rFonts w:ascii="Times New Roman" w:hAnsi="Times New Roman" w:cs="Times New Roman"/>
        </w:rPr>
        <w:t xml:space="preserve"> reshaping organizational norms </w:t>
      </w:r>
      <w:r w:rsidRPr="00B374BE">
        <w:rPr>
          <w:rFonts w:ascii="Times New Roman" w:hAnsi="Times New Roman" w:cs="Times New Roman"/>
        </w:rPr>
        <w:t>to reduce disparities rooted in race, ethni</w:t>
      </w:r>
      <w:r>
        <w:rPr>
          <w:rFonts w:ascii="Times New Roman" w:hAnsi="Times New Roman" w:cs="Times New Roman"/>
        </w:rPr>
        <w:t>city, and socioeconomic status.</w:t>
      </w:r>
    </w:p>
    <w:p w14:paraId="7ABC33A6" w14:textId="03DDF9D3" w:rsidR="00B35142" w:rsidRDefault="00B35142" w:rsidP="00B35142">
      <w:pPr>
        <w:jc w:val="both"/>
        <w:rPr>
          <w:rFonts w:ascii="Times New Roman" w:hAnsi="Times New Roman" w:cs="Times New Roman"/>
        </w:rPr>
      </w:pPr>
      <w:r w:rsidRPr="00B374BE">
        <w:rPr>
          <w:rFonts w:ascii="Times New Roman" w:hAnsi="Times New Roman" w:cs="Times New Roman"/>
        </w:rPr>
        <w:t>Despite its demonstrated benefits, the long-term success of cultural competence training hinges on robust implementation strategies that address systemic barriers. Multi-level approaches combining educational innovations (e-learning modules, peer-led sessions), organizational policies (performance evaluations, anti-discrimination protocols), and structural reforms (accreditation standards, stakeholder collaboration) were identified as essential enablers of sustainable adoption</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{"citationItems":[{"id":"ITEM-1","itemData":{"author":[{"dropping-particle":"","family":"Eliacin","given":"J","non-dropping-particle":"","parse-names":false,"suffix":""},{"dropping-particle":"","family":"Burgess","given":"Diana J","non-dropping-particle":"","parse-names":false,"suffix":""},{"dropping-particle":"","family":"Rollins","given":"A","non-dropping-particle":"","parse-names":false,"suffix":""},{"dropping-particle":"","family":"Patterson","given":"Scott","non-dropping-particle":"","parse-names":false,"suffix":""},{"dropping-particle":"","family":"Damush","given":"T","non-dropping-particle":"","parse-names":false,"suffix":""},{"dropping-particle":"","family":"Bair","given":"M","non-dropping-particle":"","parse-names":false,"suffix":""},{"dropping-particle":"","family":"Salyers","given":"Michelle P","non-dropping-particle":"","parse-names":false,"suffix":""},{"dropping-particle":"","family":"Spoont","given":"M","non-dropping-particle":"","parse-names":false,"suffix":""},{"dropping-particle":"","family":"Slaven","given":"J","non-dropping-particle":"","parse-names":false,"suffix":""},{"dropping-particle":"","family":"O'Connor","given":"Caitlin","non-dropping-particle":"","parse-names":false,"suffix":""},{"dropping-particle":"","family":"Walker","given":"Kiara","non-dropping-particle":"","parse-names":false,"suffix":""},{"dropping-particle":"","family":"Zou","given":"Denise S","non-dropping-particle":"","parse-names":false,"suffix":""},{"dropping-particle":"","family":"Austin","given":"Emily","non-dropping-particle":"","parse-names":false,"suffix":""},{"dropping-particle":"","family":"Akins","given":"J","non-dropping-particle":"","parse-names":false,"suffix":""},{"dropping-particle":"","family":"Miller","given":"James","non-dropping-particle":"","parse-names":false,"suffix":""},{"dropping-particle":"","family":"Chinman","given":"M","non-dropping-particle":"","parse-names":false,"suffix":""},{"dropping-particle":"","family":"Matthias","given":"M","non-dropping-particle":"","parse-names":false,"suffix":""}],"container-title":"JMIR Research Protocols","id":"ITEM-1","issued":{"date-parts":[["2022"]]},"title":"Proactive, Recovery-Oriented Treatment Navigation to Engage Racially Diverse Veterans in Mental Healthcare (PARTNER-MH), a Peer-Led Patient Navigation Intervention for Racially and Ethnically Minoritized Veterans in Veterans Health Administration Mental Health Services: Protocol for a Mixed Methods","type":"article-journal"},"uris":["http://www.mendeley.com/documents/?uuid=44c06e62-38ae-4b3a-8a87-c15cde2b6973"]},{"id":"ITEM-2","itemData":{"author":[{"dropping-particle":"","family":"Kaligotla","given":"Lalita","non-dropping-particle":"","parse-names":false,"suffix":""},{"dropping-particle":"","family":"Bhat","given":"Shankar","non-dropping-particle":"","parse-names":false,"suffix":""},{"dropping-particle":"","family":"Chicas","given":"Roxana","non-dropping-particle":"","parse-names":false,"suffix":""},{"dropping-particle":"","family":"Irish","given":"Jasmine","non-dropping-particle":"","parse-names":false,"suffix":""},{"dropping-particle":"","family":"McDermott","given":"Carrie","non-dropping-particle":"","parse-names":false,"suffix":""},{"dropping-particle":"","family":"Chance-Revels","given":"Rebekah","non-dropping-particle":"","parse-names":false,"suffix":""}],"container-title":"Nurse Educator","id":"ITEM-2","issued":{"date-parts":[["2024"]]},"title":"Leveraging Narrative Reflective Writing to Teach Nursing Students About Social Determinants of Health by Harnessing “Small Moments”","type":"article-journal"},"uris":["http://www.mendeley.com/documents/?uuid=6bab12f9-ca00-4495-8325-cdbe452908ae"]}],"mendeley":{"formattedCitation":"(Eliacin et al., 2022; Kaligotla et al., 2024)","plainTextFormattedCitation":"(Eliacin et al., 2022; Kaligotla et al., 2024)","previouslyFormattedCitation":"(Eliacin et al., 2022; Kaligotla et al.,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(Eliacin et al., 2022; Kaligotla et al., 2024)</w:t>
      </w:r>
      <w:r w:rsidR="005E70D2">
        <w:rPr>
          <w:rFonts w:ascii="Times New Roman" w:hAnsi="Times New Roman" w:cs="Times New Roman"/>
        </w:rPr>
        <w:fldChar w:fldCharType="end"/>
      </w:r>
      <w:r w:rsidRPr="00B374BE">
        <w:rPr>
          <w:rFonts w:ascii="Times New Roman" w:hAnsi="Times New Roman" w:cs="Times New Roman"/>
        </w:rPr>
        <w:t>. However, inconsistencies in competency frameworks and evaluation metrics significantly constrained scalability and institutionalization</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Kaligotla","given":"Lalita","non-dropping-particle":"","parse-names":false,"suffix":""},{"dropping-particle":"","family":"Bhat","given":"Shankar","non-dropping-particle":"","parse-names":false,"suffix":""},{"dropping-particle":"","family":"Chicas","given":"Roxana","non-dropping-particle":"","parse-names":false,"suffix":""},{"dropping-particle":"","family":"Irish","given":"Jasmine","non-dropping-particle":"","parse-names":false,"suffix":""},{"dropping-particle":"","family":"McDermott","given":"Carrie","non-dropping-particle":"","parse-names":false,"suffix":""},{"dropping-particle":"","family":"Chance-Revels","given":"Rebekah","non-dropping-particle":"","parse-names":false,"suffix":""}],"container-title":"Nurse Educator","id":"ITEM-1","issued":{"date-parts":[["2024"]]},"title":"Leveraging Narrative Reflective Writing to Teach Nursing Students About Social Determinants of Health by Harnessing “Small Moments”","type":"article-journal"},"uris":["http://www.mendeley.com/documents/?uuid=6bab12f9-ca00-4495-8325-cdbe452908ae"]},{"id":"ITEM-2","itemData":{"author":[{"dropping-particle":"","family":"Elendu","given":"Chukwuka","non-dropping-particle":"","parse-names":false,"suffix":""},{"dropping-particle":"","family":"Omeludike","given":"Eunice K","non-dropping-particle":"","parse-names":false,"suffix":""},{"dropping-particle":"","family":"Oloyede","given":"Praise O","non-dropping-particle":"","parse-names":false,"suffix":""},{"dropping-particle":"","family":"Obidigbo","given":"Babajide T","non-dropping-particle":"","parse-names":false,"suffix":""},{"dropping-particle":"","family":"Omeludike","given":"Janet C","non-dropping-particle":"","parse-names":false,"suffix":""}],"container-title":"Medicine","id":"ITEM-2","issued":{"date-parts":[["2024"]]},"title":"Legal implications for clinicians in cybersecurity incidents: A review","type":"article-journal"},"uris":["http://www.mendeley.com/documents/?uuid=04ff39ef-82f5-4fd5-9f42-400b6171bd5f"]}],"mendeley":{"formattedCitation":"(Elendu et al., 2024; Kaligotla et al., 2024)","plainTextFormattedCitation":"(Elendu et al., 2024; Kaligotla et al., 2024)","previouslyFormattedCitation":"(Elendu et al., 2024; Kaligotla et al.,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(Elendu et al., 2024; Kaligotla et al., 2024)</w:t>
      </w:r>
      <w:r w:rsidR="005E70D2">
        <w:rPr>
          <w:rFonts w:ascii="Times New Roman" w:hAnsi="Times New Roman" w:cs="Times New Roman"/>
        </w:rPr>
        <w:fldChar w:fldCharType="end"/>
      </w:r>
      <w:r w:rsidRPr="00B374BE">
        <w:rPr>
          <w:rFonts w:ascii="Times New Roman" w:hAnsi="Times New Roman" w:cs="Times New Roman"/>
        </w:rPr>
        <w:t xml:space="preserve">. Single-session trainings, while accessible, often failed to produce durable behavioral change without longitudinal reinforcement or leadership buy-in. Drawing on CFIR constructs, we observed that implementation </w:t>
      </w:r>
      <w:r w:rsidRPr="00B374BE">
        <w:rPr>
          <w:rFonts w:ascii="Times New Roman" w:hAnsi="Times New Roman" w:cs="Times New Roman"/>
        </w:rPr>
        <w:lastRenderedPageBreak/>
        <w:t>success was strongly influenced by factors such as adaptability of training content, compatibility with existing workflows, and leadership engagement. From an NPT perspective, coherence, cognitive participation, collective action, and reflexive monitoring emerged as critical dimensions shaping normalization within professional routines</w:t>
      </w:r>
      <w:r w:rsidR="005E70D2">
        <w:rPr>
          <w:rFonts w:ascii="Times New Roman" w:hAnsi="Times New Roman" w:cs="Times New Roman"/>
        </w:rPr>
        <w:fldChar w:fldCharType="begin" w:fldLock="1"/>
      </w:r>
      <w:r w:rsidR="005E70D2">
        <w:rPr>
          <w:rFonts w:ascii="Times New Roman" w:hAnsi="Times New Roman" w:cs="Times New Roman"/>
        </w:rPr>
        <w:instrText>ADDIN CSL_CITATION {"citationItems":[{"id":"ITEM-1","itemData":{"author":[{"dropping-particle":"","family":"Benjamins","given":"Maureen R","non-dropping-particle":"","parse-names":false,"suffix":""},{"dropping-particle":"","family":"Middleton","given":"M","non-dropping-particle":"","parse-names":false,"suffix":""}],"container-title":"PLoS ONE","id":"ITEM-1","issued":{"date-parts":[["2019"]]},"title":"Perceived discrimination in medical settings and perceived quality of care: A population-based study in Chicago","type":"article-journal"},"uris":["http://www.mendeley.com/documents/?uuid=d863150d-7998-4d7b-ad24-9222f32c86ad"]},{"id":"ITEM-2","itemData":{"author":[{"dropping-particle":"","family":"Eliacin","given":"J","non-dropping-particle":"","parse-names":false,"suffix":""},{"dropping-particle":"","family":"Burgess","given":"Diana J","non-dropping-particle":"","parse-names":false,"suffix":""},{"dropping-particle":"","family":"Rollins","given":"A","non-dropping-particle":"","parse-names":false,"suffix":""},{"dropping-particle":"","family":"Patterson","given":"Scott","non-dropping-particle":"","parse-names":false,"suffix":""},{"dropping-particle":"","family":"Damush","given":"T","non-dropping-particle":"","parse-names":false,"suffix":""},{"dropping-particle":"","family":"Bair","given":"M","non-dropping-particle":"","parse-names":false,"suffix":""},{"dropping-particle":"","family":"Salyers","given":"Michelle P","non-dropping-particle":"","parse-names":false,"suffix":""},{"dropping-particle":"","family":"Spoont","given":"M","non-dropping-particle":"","parse-names":false,"suffix":""},{"dropping-particle":"","family":"Slaven","given":"J","non-dropping-particle":"","parse-names":false,"suffix":""},{"dropping-particle":"","family":"O'Connor","given":"Caitlin","non-dropping-particle":"","parse-names":false,"suffix":""},{"dropping-particle":"","family":"Walker","given":"Kiara","non-dropping-particle":"","parse-names":false,"suffix":""},{"dropping-particle":"","family":"Zou","given":"Denise S","non-dropping-particle":"","parse-names":false,"suffix":""},{"dropping-particle":"","family":"Austin","given":"Emily","non-dropping-particle":"","parse-names":false,"suffix":""},{"dropping-particle":"","family":"Akins","given":"J","non-dropping-particle":"","parse-names":false,"suffix":""},{"dropping-particle":"","family":"Miller","given":"James","non-dropping-particle":"","parse-names":false,"suffix":""},{"dropping-particle":"","family":"Chinman","given":"M","non-dropping-particle":"","parse-names":false,"suffix":""},{"dropping-particle":"","family":"Matthias","given":"M","non-dropping-particle":"","parse-names":false,"suffix":""}],"container-title":"JMIR Research Protocols","id":"ITEM-2","issued":{"date-parts":[["2022"]]},"title":"Proactive, Recovery-Oriented Treatment Navigation to Engage Racially Diverse Veterans in Mental Healthcare (PARTNER-MH), a Peer-Led Patient Navigation Intervention for Racially and Ethnically Minoritized Veterans in Veterans Health Administration Mental Health Services: Protocol for a Mixed Methods","type":"article-journal"},"uris":["http://www.mendeley.com/documents/?uuid=6073a772-3b43-40af-b0f8-3c53e8b73dcc"]},{"id":"ITEM-3","itemData":{"author":[{"dropping-particle":"","family":"Sardi","given":"A","non-dropping-particle":"","parse-names":false,"suffix":""},{"dropping-particle":"","family":"Rizzi","given":"A","non-dropping-particle":"","parse-names":false,"suffix":""},{"dropping-particle":"","family":"Sorano","given":"E","non-dropping-particle":"","parse-names":false,"suffix":""},{"dropping-particle":"","family":"Guerrieri","given":"A","non-dropping-particle":"","parse-names":false,"suffix":""}],"container-title":"Sustainability","id":"ITEM-3","issued":{"date-parts":[["2020"]]},"title":"Cyber Risk in Health Facilities: A Systematic Literature Review","type":"article-journal"},"uris":["http://www.mendeley.com/documents/?uuid=820b4a29-3101-4816-9358-8fcda8af8165"]}],"mendeley":{"formattedCitation":"(Benjamins &amp; Middleton, 2019; Eliacin et al., 2022; Sardi et al., 2020)","plainTextFormattedCitation":"(Benjamins &amp; Middleton, 2019; Eliacin et al., 2022; Sardi et al., 2020)","previouslyFormattedCitation":"(Benjamins &amp; Middleton, 2019; Eliacin et al., 2022; Sardi et al., 2020)"},"properties":{"noteIndex":0},"schema":"https://github.com/citation-style-language/schema/raw/master/csl-citation.json"}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(Benjamins &amp; Middleton, 2019; Eliacin et al., 2022; Sardi et al., 2020)</w:t>
      </w:r>
      <w:r w:rsidR="005E70D2">
        <w:rPr>
          <w:rFonts w:ascii="Times New Roman" w:hAnsi="Times New Roman" w:cs="Times New Roman"/>
        </w:rPr>
        <w:fldChar w:fldCharType="end"/>
      </w:r>
      <w:r w:rsidRPr="00B374BE">
        <w:rPr>
          <w:rFonts w:ascii="Times New Roman" w:hAnsi="Times New Roman" w:cs="Times New Roman"/>
        </w:rPr>
        <w:t>. These insights highlight the need for comprehensive strategies that embed cultural competence within medical education, performance appraisal systems, and i</w:t>
      </w:r>
      <w:r>
        <w:rPr>
          <w:rFonts w:ascii="Times New Roman" w:hAnsi="Times New Roman" w:cs="Times New Roman"/>
        </w:rPr>
        <w:t>nstitutional policy frameworks.</w:t>
      </w:r>
    </w:p>
    <w:p w14:paraId="7CB43230" w14:textId="54A4487C" w:rsidR="006250EF" w:rsidRPr="00B35142" w:rsidRDefault="00B35142" w:rsidP="00B35142">
      <w:pPr>
        <w:jc w:val="both"/>
        <w:rPr>
          <w:rFonts w:ascii="Times New Roman" w:hAnsi="Times New Roman" w:cs="Times New Roman"/>
        </w:rPr>
      </w:pPr>
      <w:r w:rsidRPr="00B374BE">
        <w:rPr>
          <w:rFonts w:ascii="Times New Roman" w:hAnsi="Times New Roman" w:cs="Times New Roman"/>
        </w:rPr>
        <w:t>The implications of this review extend across multiple domains of healthcare policy, professional education, and research. At the policy level, integrating cultural competence into national accreditation standards and continuing medical education requirements is crucial for ensuring widespread uptake and quality assurance</w:t>
      </w:r>
      <w:r w:rsidR="005E70D2">
        <w:rPr>
          <w:rFonts w:ascii="Times New Roman" w:hAnsi="Times New Roman" w:cs="Times New Roman"/>
        </w:rPr>
        <w:fldChar w:fldCharType="begin" w:fldLock="1"/>
      </w:r>
      <w:r w:rsidR="007126A4">
        <w:rPr>
          <w:rFonts w:ascii="Times New Roman" w:hAnsi="Times New Roman" w:cs="Times New Roman"/>
        </w:rPr>
        <w:instrText>ADDIN CSL_CITATION {"citationItems":[{"id":"ITEM-1","itemData":{"author":[{"dropping-particle":"","family":"Joensuu","given":"R","non-dropping-particle":"","parse-names":false,"suffix":""},{"dropping-particle":"","family":"Suleiman","given":"K","non-dropping-particle":"","parse-names":false,"suffix":""},{"dropping-particle":"","family":"Koskenranta","given":"M","non-dropping-particle":"","parse-names":false,"suffix":""},{"dropping-particle":"","family":"Kuivila","given":"H","non-dropping-particle":"","parse-names":false,"suffix":""},{"dropping-particle":"","family":"Oikarainen","given":"A","non-dropping-particle":"","parse-names":false,"suffix":""},{"dropping-particle":"","family":"Juntunen","given":"J","non-dropping-particle":"","parse-names":false,"suffix":""},{"dropping-particle":"","family":"Goh","given":"Y","non-dropping-particle":"","parse-names":false,"suffix":""},{"dropping-particle":"","family":"Liaw","given":"S Y","non-dropping-particle":"","parse-names":false,"suffix":""},{"dropping-particle":"","family":"Mikkonen","given":"K","non-dropping-particle":"","parse-names":false,"suffix":""}],"container-title":"Journal of Nursing Management","id":"ITEM-1","issued":{"date-parts":[["2024"]]},"title":"Factors Associated with the Integration of Culturally and Linguistically Diverse Nurses into Healthcare Organisations: A Systematic Review of Quantitative Studies","type":"article-journal"},"uris":["http://www.mendeley.com/documents/?uuid=76309e99-10df-41b1-829a-92fd69b9a4af"]},{"id":"ITEM-2","itemData":{"author":[{"dropping-particle":"","family":"Al-Majmaie","given":"Imad Mahmood Enad","non-dropping-particle":"","parse-names":false,"suffix":""},{"dropping-particle":"","family":"Alezzi","given":"Jalil I","non-dropping-particle":"","parse-names":false,"suffix":""},{"dropping-particle":"","family":"Batarfi","given":"Ali Mohammed","non-dropping-particle":"","parse-names":false,"suffix":""}],"container-title":"Diyala Journal of Medicine","id":"ITEM-2","issued":{"date-parts":[["2023"]]},"title":"Diversity in Medical Education: A Review Article","type":"article-journal"},"uris":["http://www.mendeley.com/documents/?uuid=f5979083-634f-4748-a440-98ef9665a3e6"]},{"id":"ITEM-3","itemData":{"author":[{"dropping-particle":"","family":"Efthymiou","given":"Efthymia","non-dropping-particle":"","parse-names":false,"suffix":""}],"container-title":"Medical Education Online","id":"ITEM-3","issued":{"date-parts":[["2025"]]},"title":"Integrating digital and narrative medicine in modern healthcare: a systematic review","type":"article-journal"},"uris":["http://www.mendeley.com/documents/?uuid=90eb0308-11c1-4e14-a1db-f804272c71ec"]}],"mendeley":{"formattedCitation":"(Al-Majmaie et al., 2023; Efthymiou, 2025; Joensuu et al., 2024)","plainTextFormattedCitation":"(Al-Majmaie et al., 2023; Efthymiou, 2025; Joensuu et al., 2024)","previouslyFormattedCitation":"(Al-Majmaie et al., 2023; Efthymiou, 2025; Joensuu et al., 2024)"},"properties":{"noteIndex":0},"schema":"https://github.com/citation-style-language/schema/raw/master/csl-citation.json"}</w:instrText>
      </w:r>
      <w:r w:rsidR="005E70D2">
        <w:rPr>
          <w:rFonts w:ascii="Times New Roman" w:hAnsi="Times New Roman" w:cs="Times New Roman"/>
        </w:rPr>
        <w:fldChar w:fldCharType="separate"/>
      </w:r>
      <w:r w:rsidR="005E70D2" w:rsidRPr="005E70D2">
        <w:rPr>
          <w:rFonts w:ascii="Times New Roman" w:hAnsi="Times New Roman" w:cs="Times New Roman"/>
          <w:noProof/>
        </w:rPr>
        <w:t>(Al-Majmaie et al., 2023; Efthymiou, 2025; Joensuu et al., 2024)</w:t>
      </w:r>
      <w:r w:rsidR="005E70D2">
        <w:rPr>
          <w:rFonts w:ascii="Times New Roman" w:hAnsi="Times New Roman" w:cs="Times New Roman"/>
        </w:rPr>
        <w:fldChar w:fldCharType="end"/>
      </w:r>
      <w:r w:rsidRPr="00B374BE">
        <w:rPr>
          <w:rFonts w:ascii="Times New Roman" w:hAnsi="Times New Roman" w:cs="Times New Roman"/>
        </w:rPr>
        <w:t>. For healthcare institutions, investing in scalable digital platforms and modular curricula offers a viable pathway toward system-wide implementation. In professional education, early exposure through undergraduate and residency programs, coupled with continuous assessment via reflective practice and peer feedback, can help normalize cross-cultural competencies throughout career trajectories</w:t>
      </w:r>
      <w:r w:rsidR="007126A4">
        <w:rPr>
          <w:rFonts w:ascii="Times New Roman" w:hAnsi="Times New Roman" w:cs="Times New Roman"/>
        </w:rPr>
        <w:fldChar w:fldCharType="begin" w:fldLock="1"/>
      </w:r>
      <w:r w:rsidR="007126A4">
        <w:rPr>
          <w:rFonts w:ascii="Times New Roman" w:hAnsi="Times New Roman" w:cs="Times New Roman"/>
        </w:rPr>
        <w:instrText>ADDIN CSL_CITATION {"citationItems":[{"id":"ITEM-1","itemData":{"author":[{"dropping-particle":"","family":"Notarnicola","given":"Ippolito","non-dropping-particle":"","parse-names":false,"suffix":""},{"dropping-particle":"","family":"Dervishi","given":"Alketa","non-dropping-particle":"","parse-names":false,"suffix":""},{"dropping-particle":"","family":"Duka","given":"Blerina","non-dropping-particle":"","parse-names":false,"suffix":""},{"dropping-particle":"","family":"Grosha","given":"Eriola","non-dropping-particle":"","parse-names":false,"suffix":""},{"dropping-particle":"","family":"Gioiello","given":"Giovanni","non-dropping-particle":"","parse-names":false,"suffix":""},{"dropping-particle":"","family":"Carrodano","given":"Sara","non-dropping-particle":"","parse-names":false,"suffix":""},{"dropping-particle":"","family":"Rocco","given":"G","non-dropping-particle":"","parse-names":false,"suffix":""},{"dropping-particle":"","family":"Stievano","given":"A","non-dropping-particle":"","parse-names":false,"suffix":""}],"container-title":"Nursing Reports","id":"ITEM-1","issued":{"date-parts":[["2025"]]},"title":"A Systematic Review of Nursing Competencies: Addressing the Challenges of Evolving Healthcare Systems and Demographic Changes","type":"article-journal"},"uris":["http://www.mendeley.com/documents/?uuid=ccd02cc3-91cc-4bd0-a1c0-493814de7c84"]}],"mendeley":{"formattedCitation":"(Notarnicola et al., 2025)","plainTextFormattedCitation":"(Notarnicola et al., 2025)","previouslyFormattedCitation":"(Notarnicola et al., 2025)"},"properties":{"noteIndex":0},"schema":"https://github.com/citation-style-language/schema/raw/master/csl-citation.json"}</w:instrText>
      </w:r>
      <w:r w:rsidR="007126A4">
        <w:rPr>
          <w:rFonts w:ascii="Times New Roman" w:hAnsi="Times New Roman" w:cs="Times New Roman"/>
        </w:rPr>
        <w:fldChar w:fldCharType="separate"/>
      </w:r>
      <w:r w:rsidR="007126A4" w:rsidRPr="007126A4">
        <w:rPr>
          <w:rFonts w:ascii="Times New Roman" w:hAnsi="Times New Roman" w:cs="Times New Roman"/>
          <w:noProof/>
        </w:rPr>
        <w:t>(Notarnicola et al., 2025)</w:t>
      </w:r>
      <w:r w:rsidR="007126A4">
        <w:rPr>
          <w:rFonts w:ascii="Times New Roman" w:hAnsi="Times New Roman" w:cs="Times New Roman"/>
        </w:rPr>
        <w:fldChar w:fldCharType="end"/>
      </w:r>
      <w:r w:rsidRPr="00B374BE">
        <w:rPr>
          <w:rFonts w:ascii="Times New Roman" w:hAnsi="Times New Roman" w:cs="Times New Roman"/>
        </w:rPr>
        <w:t>. Looking ahead, future research should prioritize comparative effectiveness studies to identify optimal training modalities, as well as longitudinal analyses to evaluate the durability of behavioral change and patient outcomes. Moreover, there is a pressing need for rigorous cost-benefit analyses grounded in implementation science frameworks such as RE-AIM and CFIR, which offer robust methodologies for assessing reach, effectiveness, adoption, implementation, and maintenance. Such studies will be instrumental in building the economic case for institutional investment in cultural competence as a core component of high-quality, equitable healthcare</w:t>
      </w:r>
      <w:r w:rsidR="007126A4">
        <w:rPr>
          <w:rFonts w:ascii="Times New Roman" w:hAnsi="Times New Roman" w:cs="Times New Roman"/>
        </w:rPr>
        <w:fldChar w:fldCharType="begin" w:fldLock="1"/>
      </w:r>
      <w:r w:rsidR="007126A4">
        <w:rPr>
          <w:rFonts w:ascii="Times New Roman" w:hAnsi="Times New Roman" w:cs="Times New Roman"/>
        </w:rPr>
        <w:instrText>ADDIN CSL_CITATION {"citationItems":[{"id":"ITEM-1","itemData":{"author":[{"dropping-particle":"","family":"Howard","given":"Matylda","non-dropping-particle":"","parse-names":false,"suffix":""},{"dropping-particle":"","family":"Tan","given":"Kuan Liung","non-dropping-particle":"","parse-names":false,"suffix":""},{"dropping-particle":"","family":"Jayasekara","given":"R","non-dropping-particle":"","parse-names":false,"suffix":""}],"container-title":"Journal of Healthcare Leadership","id":"ITEM-1","issued":{"date-parts":[["2025"]]},"title":"Exploring Ethical, Cultural, and Transnational Competence Among International Healthcare Management Students: An Australian Perspective","type":"article-journal"},"uris":["http://www.mendeley.com/documents/?uuid=bb154817-45ef-439b-a405-f46d0b7b8b3a"]},{"id":"ITEM-2","itemData":{"author":[{"dropping-particle":"","family":"Means","given":"A R","non-dropping-particle":"","parse-names":false,"suffix":""},{"dropping-particle":"","family":"Kemp","given":"C","non-dropping-particle":"","parse-names":false,"suffix":""},{"dropping-particle":"","family":"Gwayi-Chore","given":"Marie-Claire","non-dropping-particle":"","parse-names":false,"suffix":""},{"dropping-particle":"","family":"Gimbel","given":"S","non-dropping-particle":"","parse-names":false,"suffix":""},{"dropping-particle":"","family":"Soi","given":"Caroline","non-dropping-particle":"","parse-names":false,"suffix":""},{"dropping-particle":"","family":"Sherr","given":"K","non-dropping-particle":"","parse-names":false,"suffix":""},{"dropping-particle":"","family":"Wagenaar","given":"B","non-dropping-particle":"","parse-names":false,"suffix":""},{"dropping-particle":"","family":"Wasserheit","given":"J","non-dropping-particle":"","parse-names":false,"suffix":""},{"dropping-particle":"","family":"Weiner","given":"B","non-dropping-particle":"","parse-names":false,"suffix":""}],"container-title":"Implementation Science","id":"ITEM-2","issued":{"date-parts":[["2020"]]},"title":"Evaluating and optimizing the consolidated framework for implementation research (CFIR) for use in low- and middle-income countries: a systematic review","type":"article-journal"},"uris":["http://www.mendeley.com/documents/?uuid=c4de02a2-76a6-49cd-be73-b57a590cd90b"]}],"mendeley":{"formattedCitation":"(Howard et al., 2025; Means et al., 2020)","plainTextFormattedCitation":"(Howard et al., 2025; Means et al., 2020)"},"properties":{"noteIndex":0},"schema":"https://github.com/citation-style-language/schema/raw/master/csl-citation.json"}</w:instrText>
      </w:r>
      <w:r w:rsidR="007126A4">
        <w:rPr>
          <w:rFonts w:ascii="Times New Roman" w:hAnsi="Times New Roman" w:cs="Times New Roman"/>
        </w:rPr>
        <w:fldChar w:fldCharType="separate"/>
      </w:r>
      <w:r w:rsidR="007126A4" w:rsidRPr="007126A4">
        <w:rPr>
          <w:rFonts w:ascii="Times New Roman" w:hAnsi="Times New Roman" w:cs="Times New Roman"/>
          <w:noProof/>
        </w:rPr>
        <w:t>(Howard et al., 2025; Means et al., 2020)</w:t>
      </w:r>
      <w:r w:rsidR="007126A4">
        <w:rPr>
          <w:rFonts w:ascii="Times New Roman" w:hAnsi="Times New Roman" w:cs="Times New Roman"/>
        </w:rPr>
        <w:fldChar w:fldCharType="end"/>
      </w:r>
      <w:r w:rsidRPr="00B374BE">
        <w:rPr>
          <w:rFonts w:ascii="Times New Roman" w:hAnsi="Times New Roman" w:cs="Times New Roman"/>
        </w:rPr>
        <w:t>.</w:t>
      </w:r>
    </w:p>
    <w:p w14:paraId="27F65ABE" w14:textId="77777777" w:rsidR="006250EF" w:rsidRDefault="006250EF">
      <w:pPr>
        <w:widowControl w:val="0"/>
        <w:spacing w:before="2" w:after="0" w:line="240" w:lineRule="auto"/>
        <w:rPr>
          <w:rFonts w:ascii="Times New Roman" w:eastAsia="Times New Roman" w:hAnsi="Times New Roman" w:cs="Times New Roman"/>
        </w:rPr>
      </w:pPr>
    </w:p>
    <w:p w14:paraId="7FFC7DD2" w14:textId="13FB11D6" w:rsidR="006250EF" w:rsidRDefault="00B35142" w:rsidP="00B35142">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CONCLUSIONS</w:t>
      </w:r>
    </w:p>
    <w:p w14:paraId="47C4D6BC" w14:textId="77777777" w:rsidR="00B35142" w:rsidRPr="00243C8E" w:rsidRDefault="00B35142" w:rsidP="00B35142">
      <w:pPr>
        <w:jc w:val="both"/>
        <w:rPr>
          <w:rFonts w:ascii="Times New Roman" w:hAnsi="Times New Roman" w:cs="Times New Roman"/>
        </w:rPr>
      </w:pPr>
      <w:r w:rsidRPr="00243C8E">
        <w:rPr>
          <w:rFonts w:ascii="Times New Roman" w:hAnsi="Times New Roman" w:cs="Times New Roman"/>
        </w:rPr>
        <w:t>This systematic review highlights the essential role of cultural competence training in improving healthcare delivery by enhancing doctor–patient communication, increasing patient satisfaction, and reducing health disparities among racially, ethnically, and socioeconomically diverse populations. The findings reveal that well-st</w:t>
      </w:r>
      <w:r>
        <w:rPr>
          <w:rFonts w:ascii="Times New Roman" w:hAnsi="Times New Roman" w:cs="Times New Roman"/>
        </w:rPr>
        <w:t xml:space="preserve">ructured training interventions </w:t>
      </w:r>
      <w:r w:rsidRPr="00243C8E">
        <w:rPr>
          <w:rFonts w:ascii="Times New Roman" w:hAnsi="Times New Roman" w:cs="Times New Roman"/>
        </w:rPr>
        <w:t>particularly those incorporating experiential learning methods such as simulation, me</w:t>
      </w:r>
      <w:r>
        <w:rPr>
          <w:rFonts w:ascii="Times New Roman" w:hAnsi="Times New Roman" w:cs="Times New Roman"/>
        </w:rPr>
        <w:t xml:space="preserve">ntorship, and digital platforms </w:t>
      </w:r>
      <w:r w:rsidRPr="00243C8E">
        <w:rPr>
          <w:rFonts w:ascii="Times New Roman" w:hAnsi="Times New Roman" w:cs="Times New Roman"/>
        </w:rPr>
        <w:t xml:space="preserve">are effective in fostering meaningful behavioral changes among healthcare providers, including heightened cultural awareness, reduced implicit bias, and increased empathy. These shifts not only improve clinical interactions but also contribute to more equitable and respectful patient care. However, despite its demonstrated benefits, the implementation of cultural competence training remains inconsistent across healthcare systems due to fragmented program designs, limited evaluation frameworks, and a lack of institutional commitment to long-term integration. To overcome these challenges, strategic actions are needed, such as establishing standardized competency benchmarks at national and international levels, embedding training into medical education curricula and continuing professional development requirements, and aligning implementation with organizational policies and accreditation standards. By institutionalizing cultural competence as a core component of healthcare delivery, stakeholders can ensure that equity, inclusivity, and patient-centered values become integral to clinical practice. This approach is crucial for </w:t>
      </w:r>
      <w:r w:rsidRPr="00243C8E">
        <w:rPr>
          <w:rFonts w:ascii="Times New Roman" w:hAnsi="Times New Roman" w:cs="Times New Roman"/>
        </w:rPr>
        <w:lastRenderedPageBreak/>
        <w:t>building a healthcare system that is not only responsive to the needs of diverse populations but also sustainable, just, and reflective of the societies it serves.</w:t>
      </w:r>
    </w:p>
    <w:p w14:paraId="52A6856F" w14:textId="77777777" w:rsidR="006250EF" w:rsidRDefault="006250EF" w:rsidP="00CE7767">
      <w:pPr>
        <w:widowControl w:val="0"/>
        <w:spacing w:before="3" w:after="0" w:line="240" w:lineRule="auto"/>
        <w:rPr>
          <w:rFonts w:ascii="Times New Roman" w:eastAsia="Times New Roman" w:hAnsi="Times New Roman" w:cs="Times New Roman"/>
        </w:rPr>
      </w:pPr>
    </w:p>
    <w:p w14:paraId="563B3845" w14:textId="77777777" w:rsidR="00CE7767" w:rsidRDefault="00CE7767" w:rsidP="00CE7767">
      <w:pPr>
        <w:widowControl w:val="0"/>
        <w:spacing w:before="3" w:after="0" w:line="240" w:lineRule="auto"/>
        <w:rPr>
          <w:rFonts w:ascii="Times New Roman" w:eastAsia="Times New Roman" w:hAnsi="Times New Roman" w:cs="Times New Roman"/>
        </w:rPr>
      </w:pPr>
    </w:p>
    <w:p w14:paraId="38EAA4A1" w14:textId="77777777" w:rsidR="00CE7767" w:rsidRDefault="00CE7767" w:rsidP="00CE7767">
      <w:pPr>
        <w:widowControl w:val="0"/>
        <w:spacing w:before="3" w:after="0" w:line="240" w:lineRule="auto"/>
        <w:rPr>
          <w:rFonts w:ascii="Times New Roman" w:eastAsia="Times New Roman" w:hAnsi="Times New Roman" w:cs="Times New Roman"/>
        </w:rPr>
      </w:pPr>
    </w:p>
    <w:p w14:paraId="5959C67E"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Acknowledgement (Times New Roman 11)</w:t>
      </w:r>
    </w:p>
    <w:p w14:paraId="6420C170" w14:textId="77777777" w:rsidR="006250EF" w:rsidRDefault="006250EF">
      <w:pPr>
        <w:widowControl w:val="0"/>
        <w:spacing w:before="10" w:after="0" w:line="240" w:lineRule="auto"/>
        <w:rPr>
          <w:rFonts w:ascii="Times New Roman" w:eastAsia="Times New Roman" w:hAnsi="Times New Roman" w:cs="Times New Roman"/>
          <w:b/>
        </w:rPr>
      </w:pPr>
    </w:p>
    <w:p w14:paraId="57A9D495"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 The role(s) of the funding organisation, if any, in the collection of data, its analysis and interpretation, and in the right to approve or disapprove publication of the finished manuscript must be described in the Methods section of the text.</w:t>
      </w:r>
    </w:p>
    <w:p w14:paraId="294D2B60"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085D426"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9287A36"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20E5639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B2AD9B3" w14:textId="77777777" w:rsidR="006250EF" w:rsidRDefault="006250EF">
      <w:pPr>
        <w:widowControl w:val="0"/>
        <w:spacing w:before="2" w:after="0" w:line="240" w:lineRule="auto"/>
        <w:rPr>
          <w:rFonts w:ascii="Times New Roman" w:eastAsia="Times New Roman" w:hAnsi="Times New Roman" w:cs="Times New Roman"/>
        </w:rPr>
      </w:pPr>
    </w:p>
    <w:p w14:paraId="55EE57D5"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Funding Source (Times New Roman 11)</w:t>
      </w:r>
    </w:p>
    <w:p w14:paraId="33AC5BE0" w14:textId="77777777" w:rsidR="006250EF" w:rsidRDefault="006250EF">
      <w:pPr>
        <w:widowControl w:val="0"/>
        <w:spacing w:before="10" w:after="0" w:line="240" w:lineRule="auto"/>
        <w:rPr>
          <w:rFonts w:ascii="Times New Roman" w:eastAsia="Times New Roman" w:hAnsi="Times New Roman" w:cs="Times New Roman"/>
          <w:b/>
        </w:rPr>
      </w:pPr>
    </w:p>
    <w:p w14:paraId="764D5D83"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You are requested to identify who provided financial support for the conduct of the research and/or preparation of the article and to briefly describe the role of the sponsor(s) in the whole research process.</w:t>
      </w:r>
    </w:p>
    <w:p w14:paraId="11097330"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3294B102"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0D5778E4"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6FC56A2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0386B4F6" w14:textId="77777777" w:rsidR="006250EF" w:rsidRDefault="006250EF">
      <w:pPr>
        <w:widowControl w:val="0"/>
        <w:spacing w:before="2" w:after="0" w:line="240" w:lineRule="auto"/>
        <w:rPr>
          <w:rFonts w:ascii="Times New Roman" w:eastAsia="Times New Roman" w:hAnsi="Times New Roman" w:cs="Times New Roman"/>
        </w:rPr>
      </w:pPr>
    </w:p>
    <w:p w14:paraId="61D903D4" w14:textId="77777777" w:rsidR="006250EF" w:rsidRDefault="00EE1D06">
      <w:pPr>
        <w:widowControl w:val="0"/>
        <w:spacing w:after="0" w:line="240" w:lineRule="auto"/>
        <w:ind w:left="1365" w:right="1363"/>
        <w:jc w:val="center"/>
        <w:rPr>
          <w:rFonts w:ascii="Times New Roman" w:eastAsia="Times New Roman" w:hAnsi="Times New Roman" w:cs="Times New Roman"/>
          <w:b/>
        </w:rPr>
      </w:pPr>
      <w:r>
        <w:rPr>
          <w:rFonts w:ascii="Times New Roman" w:eastAsia="Times New Roman" w:hAnsi="Times New Roman" w:cs="Times New Roman"/>
          <w:b/>
        </w:rPr>
        <w:t>Conflict of Interest (Times New Roman 11)</w:t>
      </w:r>
    </w:p>
    <w:p w14:paraId="5D74BA46" w14:textId="77777777" w:rsidR="006250EF" w:rsidRDefault="006250EF">
      <w:pPr>
        <w:widowControl w:val="0"/>
        <w:spacing w:before="10" w:after="0" w:line="240" w:lineRule="auto"/>
        <w:rPr>
          <w:rFonts w:ascii="Times New Roman" w:eastAsia="Times New Roman" w:hAnsi="Times New Roman" w:cs="Times New Roman"/>
          <w:b/>
        </w:rPr>
      </w:pPr>
    </w:p>
    <w:p w14:paraId="621AFC99" w14:textId="77777777" w:rsidR="006250EF" w:rsidRDefault="00EE1D06">
      <w:pPr>
        <w:widowControl w:val="0"/>
        <w:spacing w:after="0" w:line="240" w:lineRule="auto"/>
        <w:ind w:left="220" w:right="214"/>
        <w:jc w:val="both"/>
        <w:rPr>
          <w:rFonts w:ascii="Times New Roman" w:eastAsia="Times New Roman" w:hAnsi="Times New Roman" w:cs="Times New Roman"/>
        </w:rPr>
      </w:pPr>
      <w:r>
        <w:rPr>
          <w:rFonts w:ascii="Times New Roman" w:eastAsia="Times New Roman" w:hAnsi="Times New Roman" w:cs="Times New Roman"/>
        </w:rPr>
        <w:t>when the proposed publication concerns any commercial product, either directly or indirectly, the author must include in the cover letter a statement (1) indicating that he or she has no financial or other interest in the product or distributor of the product or (2) explaining the nature of any relation between himself or herself and the manufacturer or distributor of the product. Other kinds of associations, such as consultancies, stock ownership, or other equity interests or patent licensing arrangements, also must be disclosed. If, in the Editor's judgment, the information disclosed represents a potential conflict of interest, it may be made available to reviewers and may be published at the Editor's discretion; authors will be informed of the decision before publication.</w:t>
      </w:r>
    </w:p>
    <w:p w14:paraId="40596C5F"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419F5CD7"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19B98644"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D60903A" w14:textId="77777777" w:rsidR="006250EF" w:rsidRDefault="00EE1D06">
      <w:pPr>
        <w:widowControl w:val="0"/>
        <w:spacing w:after="0" w:line="252" w:lineRule="auto"/>
        <w:ind w:left="220"/>
        <w:rPr>
          <w:rFonts w:ascii="Times New Roman" w:eastAsia="Times New Roman" w:hAnsi="Times New Roman" w:cs="Times New Roman"/>
        </w:rPr>
      </w:pPr>
      <w:r>
        <w:rPr>
          <w:rFonts w:ascii="Times New Roman" w:eastAsia="Times New Roman" w:hAnsi="Times New Roman" w:cs="Times New Roman"/>
        </w:rPr>
        <w:t>.............................................................................................................................................................</w:t>
      </w:r>
    </w:p>
    <w:p w14:paraId="7C8A03BE" w14:textId="77777777" w:rsidR="006250EF" w:rsidRDefault="006250EF">
      <w:pPr>
        <w:widowControl w:val="0"/>
        <w:spacing w:before="2" w:after="0" w:line="240" w:lineRule="auto"/>
        <w:rPr>
          <w:rFonts w:ascii="Times New Roman" w:eastAsia="Times New Roman" w:hAnsi="Times New Roman" w:cs="Times New Roman"/>
        </w:rPr>
      </w:pPr>
    </w:p>
    <w:p w14:paraId="55BE87D5" w14:textId="6A68FF74" w:rsidR="006250EF" w:rsidRDefault="00CE7767">
      <w:pPr>
        <w:widowControl w:val="0"/>
        <w:spacing w:after="0" w:line="240" w:lineRule="auto"/>
        <w:ind w:left="1365" w:right="1358"/>
        <w:jc w:val="center"/>
        <w:rPr>
          <w:rFonts w:ascii="Times New Roman" w:eastAsia="Times New Roman" w:hAnsi="Times New Roman" w:cs="Times New Roman"/>
          <w:b/>
        </w:rPr>
      </w:pPr>
      <w:r>
        <w:rPr>
          <w:rFonts w:ascii="Times New Roman" w:eastAsia="Times New Roman" w:hAnsi="Times New Roman" w:cs="Times New Roman"/>
          <w:b/>
        </w:rPr>
        <w:t>REFERENCES</w:t>
      </w:r>
    </w:p>
    <w:p w14:paraId="6454194D" w14:textId="1F2F98C7" w:rsidR="007126A4" w:rsidRPr="007126A4" w:rsidRDefault="00CE7767"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7126A4" w:rsidRPr="007126A4">
        <w:rPr>
          <w:rFonts w:ascii="Times New Roman" w:hAnsi="Times New Roman" w:cs="Times New Roman"/>
          <w:noProof/>
          <w:szCs w:val="24"/>
        </w:rPr>
        <w:t xml:space="preserve">Al-Majmaie, I. M. E., Alezzi, J. I., &amp; Batarfi, A. M. (2023). Diversity in Medical Education: A Review Article. </w:t>
      </w:r>
      <w:r w:rsidR="007126A4" w:rsidRPr="007126A4">
        <w:rPr>
          <w:rFonts w:ascii="Times New Roman" w:hAnsi="Times New Roman" w:cs="Times New Roman"/>
          <w:i/>
          <w:iCs/>
          <w:noProof/>
          <w:szCs w:val="24"/>
        </w:rPr>
        <w:t>Diyala Journal of Medicine</w:t>
      </w:r>
      <w:r w:rsidR="007126A4" w:rsidRPr="007126A4">
        <w:rPr>
          <w:rFonts w:ascii="Times New Roman" w:hAnsi="Times New Roman" w:cs="Times New Roman"/>
          <w:noProof/>
          <w:szCs w:val="24"/>
        </w:rPr>
        <w:t>.</w:t>
      </w:r>
    </w:p>
    <w:p w14:paraId="095B9570"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lastRenderedPageBreak/>
        <w:t xml:space="preserve">Antón-Solanas, I., Tambo-Lizalde, E., Hamam-Alcober, N., Vanceulebroeck, V., Dehaes, S., Kalkan, I., Kömürcü, N., Coelho, M., Coelho, T., Nova, A. C., Cordeiro, R., Sagarra-Romero, L., Subirón-Valera, A. B., &amp; Huércanos-Esparza, I. (2021). Nursing students’ experience of learning cultural competence. </w:t>
      </w:r>
      <w:r w:rsidRPr="007126A4">
        <w:rPr>
          <w:rFonts w:ascii="Times New Roman" w:hAnsi="Times New Roman" w:cs="Times New Roman"/>
          <w:i/>
          <w:iCs/>
          <w:noProof/>
          <w:szCs w:val="24"/>
        </w:rPr>
        <w:t>PLoS ONE</w:t>
      </w:r>
      <w:r w:rsidRPr="007126A4">
        <w:rPr>
          <w:rFonts w:ascii="Times New Roman" w:hAnsi="Times New Roman" w:cs="Times New Roman"/>
          <w:noProof/>
          <w:szCs w:val="24"/>
        </w:rPr>
        <w:t>.</w:t>
      </w:r>
    </w:p>
    <w:p w14:paraId="1980A3D6"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Benjamins, M. R., &amp; Middleton, M. (2019). Perceived discrimination in medical settings and perceived quality of care: A population-based study in Chicago. </w:t>
      </w:r>
      <w:r w:rsidRPr="007126A4">
        <w:rPr>
          <w:rFonts w:ascii="Times New Roman" w:hAnsi="Times New Roman" w:cs="Times New Roman"/>
          <w:i/>
          <w:iCs/>
          <w:noProof/>
          <w:szCs w:val="24"/>
        </w:rPr>
        <w:t>PLoS ONE</w:t>
      </w:r>
      <w:r w:rsidRPr="007126A4">
        <w:rPr>
          <w:rFonts w:ascii="Times New Roman" w:hAnsi="Times New Roman" w:cs="Times New Roman"/>
          <w:noProof/>
          <w:szCs w:val="24"/>
        </w:rPr>
        <w:t>.</w:t>
      </w:r>
    </w:p>
    <w:p w14:paraId="7719FA6B"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Berhanu, R. D., Golja, E. A., Gudeta, T., Feyisa, J. W., Rikitu, D. H., &amp; Bayane, Y. B. (2024). Cultural sensitivity and associated factors among nurses in southwest Ethiopia: a cross-sectional study. </w:t>
      </w:r>
      <w:r w:rsidRPr="007126A4">
        <w:rPr>
          <w:rFonts w:ascii="Times New Roman" w:hAnsi="Times New Roman" w:cs="Times New Roman"/>
          <w:i/>
          <w:iCs/>
          <w:noProof/>
          <w:szCs w:val="24"/>
        </w:rPr>
        <w:t>BMC Nursing</w:t>
      </w:r>
      <w:r w:rsidRPr="007126A4">
        <w:rPr>
          <w:rFonts w:ascii="Times New Roman" w:hAnsi="Times New Roman" w:cs="Times New Roman"/>
          <w:noProof/>
          <w:szCs w:val="24"/>
        </w:rPr>
        <w:t>.</w:t>
      </w:r>
    </w:p>
    <w:p w14:paraId="3AA8C51F"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Chung, S., &amp; Jarvill, M. (2019). Improving nursing student cultural competence: Comparing simulation to case-based learning. </w:t>
      </w:r>
      <w:r w:rsidRPr="007126A4">
        <w:rPr>
          <w:rFonts w:ascii="Times New Roman" w:hAnsi="Times New Roman" w:cs="Times New Roman"/>
          <w:i/>
          <w:iCs/>
          <w:noProof/>
          <w:szCs w:val="24"/>
        </w:rPr>
        <w:t>Journal of Nursing Education and Practice</w:t>
      </w:r>
      <w:r w:rsidRPr="007126A4">
        <w:rPr>
          <w:rFonts w:ascii="Times New Roman" w:hAnsi="Times New Roman" w:cs="Times New Roman"/>
          <w:noProof/>
          <w:szCs w:val="24"/>
        </w:rPr>
        <w:t>.</w:t>
      </w:r>
    </w:p>
    <w:p w14:paraId="779EFF9D"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Cipta, D., Andoko, D., Theja, A., Utama, A. V. E., Hendrik, H., William, D., Reina, N., Handoko, M., Lumbuun, N., Papadakis, S., Anastasiou, F., Cipta, D., Ave, U., William, D., &amp; Handoko, M. (2024). Culturally sensitive patient-centered healthcare: a focus on health behavior modification in low and middle-income nations—insights from Indonesia. </w:t>
      </w:r>
      <w:r w:rsidRPr="007126A4">
        <w:rPr>
          <w:rFonts w:ascii="Times New Roman" w:hAnsi="Times New Roman" w:cs="Times New Roman"/>
          <w:i/>
          <w:iCs/>
          <w:noProof/>
          <w:szCs w:val="24"/>
        </w:rPr>
        <w:t>Frontiers in Medicine</w:t>
      </w:r>
      <w:r w:rsidRPr="007126A4">
        <w:rPr>
          <w:rFonts w:ascii="Times New Roman" w:hAnsi="Times New Roman" w:cs="Times New Roman"/>
          <w:noProof/>
          <w:szCs w:val="24"/>
        </w:rPr>
        <w:t>.</w:t>
      </w:r>
    </w:p>
    <w:p w14:paraId="29C12392"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Das, S., &amp; Chatterjee, S. S. (2025). Examining and Working Across Differences—Older People from Culturally and Linguistically Diverse Backgrounds in Australia. </w:t>
      </w:r>
      <w:r w:rsidRPr="007126A4">
        <w:rPr>
          <w:rFonts w:ascii="Times New Roman" w:hAnsi="Times New Roman" w:cs="Times New Roman"/>
          <w:i/>
          <w:iCs/>
          <w:noProof/>
          <w:szCs w:val="24"/>
        </w:rPr>
        <w:t>Encyclopedia</w:t>
      </w:r>
      <w:r w:rsidRPr="007126A4">
        <w:rPr>
          <w:rFonts w:ascii="Times New Roman" w:hAnsi="Times New Roman" w:cs="Times New Roman"/>
          <w:noProof/>
          <w:szCs w:val="24"/>
        </w:rPr>
        <w:t>.</w:t>
      </w:r>
    </w:p>
    <w:p w14:paraId="717E637D"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Doričić, R., Orzechowski, M., Nowak, M., Grokša, I. T., Bielińska, K., Chowaniec, A., Ramšak, M., Łuków, P., Muzur, A., Zupanič-Slavec, Z., &amp; Steger, F. (2021). Diversity Competency and Access to Healthcare in Hospitals in Croatia, Germany, Poland, and Slovenia. </w:t>
      </w:r>
      <w:r w:rsidRPr="007126A4">
        <w:rPr>
          <w:rFonts w:ascii="Times New Roman" w:hAnsi="Times New Roman" w:cs="Times New Roman"/>
          <w:i/>
          <w:iCs/>
          <w:noProof/>
          <w:szCs w:val="24"/>
        </w:rPr>
        <w:t>International Journal of Environmental Research and Public Health</w:t>
      </w:r>
      <w:r w:rsidRPr="007126A4">
        <w:rPr>
          <w:rFonts w:ascii="Times New Roman" w:hAnsi="Times New Roman" w:cs="Times New Roman"/>
          <w:noProof/>
          <w:szCs w:val="24"/>
        </w:rPr>
        <w:t>.</w:t>
      </w:r>
    </w:p>
    <w:p w14:paraId="18BBAF3E"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Efthymiou, E. (2025). Integrating digital and narrative medicine in modern healthcare: a systematic review. </w:t>
      </w:r>
      <w:r w:rsidRPr="007126A4">
        <w:rPr>
          <w:rFonts w:ascii="Times New Roman" w:hAnsi="Times New Roman" w:cs="Times New Roman"/>
          <w:i/>
          <w:iCs/>
          <w:noProof/>
          <w:szCs w:val="24"/>
        </w:rPr>
        <w:t>Medical Education Online</w:t>
      </w:r>
      <w:r w:rsidRPr="007126A4">
        <w:rPr>
          <w:rFonts w:ascii="Times New Roman" w:hAnsi="Times New Roman" w:cs="Times New Roman"/>
          <w:noProof/>
          <w:szCs w:val="24"/>
        </w:rPr>
        <w:t>.</w:t>
      </w:r>
    </w:p>
    <w:p w14:paraId="733EA8AC"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Elendu, C., Omeludike, E. K., Oloyede, P. O., Obidigbo, B. T., &amp; Omeludike, J. C. (2024). Legal implications for clinicians in cybersecurity incidents: A review. </w:t>
      </w:r>
      <w:r w:rsidRPr="007126A4">
        <w:rPr>
          <w:rFonts w:ascii="Times New Roman" w:hAnsi="Times New Roman" w:cs="Times New Roman"/>
          <w:i/>
          <w:iCs/>
          <w:noProof/>
          <w:szCs w:val="24"/>
        </w:rPr>
        <w:t>Medicine</w:t>
      </w:r>
      <w:r w:rsidRPr="007126A4">
        <w:rPr>
          <w:rFonts w:ascii="Times New Roman" w:hAnsi="Times New Roman" w:cs="Times New Roman"/>
          <w:noProof/>
          <w:szCs w:val="24"/>
        </w:rPr>
        <w:t>.</w:t>
      </w:r>
    </w:p>
    <w:p w14:paraId="45D9D5CE"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Eliacin, J., Burgess, D. J., Rollins, A., Patterson, S., Damush, T., Bair, M., Salyers, M. P., Spoont, M., Slaven, J., O’Connor, C., Walker, K., Zou, D. S., Austin, E., Akins, J., Miller, J., Chinman, M., &amp; Matthias, M. (2022). Proactive, Recovery-Oriented Treatment Navigation to Engage Racially Diverse Veterans in Mental Healthcare (PARTNER-MH), a Peer-Led Patient Navigation Intervention for Racially and Ethnically Minoritized Veterans in Veterans Health Administration Mental Health Services: Protocol for a Mixed Methods. </w:t>
      </w:r>
      <w:r w:rsidRPr="007126A4">
        <w:rPr>
          <w:rFonts w:ascii="Times New Roman" w:hAnsi="Times New Roman" w:cs="Times New Roman"/>
          <w:i/>
          <w:iCs/>
          <w:noProof/>
          <w:szCs w:val="24"/>
        </w:rPr>
        <w:t>JMIR Research Protocols</w:t>
      </w:r>
      <w:r w:rsidRPr="007126A4">
        <w:rPr>
          <w:rFonts w:ascii="Times New Roman" w:hAnsi="Times New Roman" w:cs="Times New Roman"/>
          <w:noProof/>
          <w:szCs w:val="24"/>
        </w:rPr>
        <w:t>.</w:t>
      </w:r>
    </w:p>
    <w:p w14:paraId="50EC1B79"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Flynn, P., Betancourt, H. M., Emerson, N., Núñez, E., &amp; Nance, C. M. (2019). Health professional cultural competence reduces the psychological and behavioral impact of negative healthcare encounters. </w:t>
      </w:r>
      <w:r w:rsidRPr="007126A4">
        <w:rPr>
          <w:rFonts w:ascii="Times New Roman" w:hAnsi="Times New Roman" w:cs="Times New Roman"/>
          <w:i/>
          <w:iCs/>
          <w:noProof/>
          <w:szCs w:val="24"/>
        </w:rPr>
        <w:t>Cultural Diversity &amp; Ethnic Minority Psychology</w:t>
      </w:r>
      <w:r w:rsidRPr="007126A4">
        <w:rPr>
          <w:rFonts w:ascii="Times New Roman" w:hAnsi="Times New Roman" w:cs="Times New Roman"/>
          <w:noProof/>
          <w:szCs w:val="24"/>
        </w:rPr>
        <w:t>.</w:t>
      </w:r>
    </w:p>
    <w:p w14:paraId="0CE6D06B"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Howard, M., Tan, K. L., &amp; Jayasekara, R. (2025). Exploring Ethical, Cultural, and Transnational Competence Among International Healthcare Management Students: An Australian Perspective. </w:t>
      </w:r>
      <w:r w:rsidRPr="007126A4">
        <w:rPr>
          <w:rFonts w:ascii="Times New Roman" w:hAnsi="Times New Roman" w:cs="Times New Roman"/>
          <w:i/>
          <w:iCs/>
          <w:noProof/>
          <w:szCs w:val="24"/>
        </w:rPr>
        <w:t>Journal of Healthcare Leadership</w:t>
      </w:r>
      <w:r w:rsidRPr="007126A4">
        <w:rPr>
          <w:rFonts w:ascii="Times New Roman" w:hAnsi="Times New Roman" w:cs="Times New Roman"/>
          <w:noProof/>
          <w:szCs w:val="24"/>
        </w:rPr>
        <w:t>.</w:t>
      </w:r>
    </w:p>
    <w:p w14:paraId="0DD65C16"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Joensuu, R., Suleiman, K., Koskenranta, M., Kuivila, H., Oikarainen, A., Juntunen, J., Goh, Y., Liaw, S. Y., &amp; Mikkonen, K. (2024). Factors Associated with the Integration of Culturally and Linguistically Diverse Nurses into Healthcare Organisations: A Systematic Review of Quantitative Studies. </w:t>
      </w:r>
      <w:r w:rsidRPr="007126A4">
        <w:rPr>
          <w:rFonts w:ascii="Times New Roman" w:hAnsi="Times New Roman" w:cs="Times New Roman"/>
          <w:i/>
          <w:iCs/>
          <w:noProof/>
          <w:szCs w:val="24"/>
        </w:rPr>
        <w:t>Journal of Nursing Management</w:t>
      </w:r>
      <w:r w:rsidRPr="007126A4">
        <w:rPr>
          <w:rFonts w:ascii="Times New Roman" w:hAnsi="Times New Roman" w:cs="Times New Roman"/>
          <w:noProof/>
          <w:szCs w:val="24"/>
        </w:rPr>
        <w:t>.</w:t>
      </w:r>
    </w:p>
    <w:p w14:paraId="739768D8"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Kaligotla, L., Bhat, S., Chicas, R., Irish, J., McDermott, C., &amp; Chance-Revels, R. (2024). Leveraging Narrative Reflective Writing to Teach Nursing Students About Social Determinants of Health by Harnessing “Small Moments.” </w:t>
      </w:r>
      <w:r w:rsidRPr="007126A4">
        <w:rPr>
          <w:rFonts w:ascii="Times New Roman" w:hAnsi="Times New Roman" w:cs="Times New Roman"/>
          <w:i/>
          <w:iCs/>
          <w:noProof/>
          <w:szCs w:val="24"/>
        </w:rPr>
        <w:t>Nurse Educator</w:t>
      </w:r>
      <w:r w:rsidRPr="007126A4">
        <w:rPr>
          <w:rFonts w:ascii="Times New Roman" w:hAnsi="Times New Roman" w:cs="Times New Roman"/>
          <w:noProof/>
          <w:szCs w:val="24"/>
        </w:rPr>
        <w:t>.</w:t>
      </w:r>
    </w:p>
    <w:p w14:paraId="129E10CC"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Kumar, R. K., Bhattacharya, S., Sharma, N., &amp; Thiyagarajan, A. (2019). Cultural competence in family practice and primary care setting. </w:t>
      </w:r>
      <w:r w:rsidRPr="007126A4">
        <w:rPr>
          <w:rFonts w:ascii="Times New Roman" w:hAnsi="Times New Roman" w:cs="Times New Roman"/>
          <w:i/>
          <w:iCs/>
          <w:noProof/>
          <w:szCs w:val="24"/>
        </w:rPr>
        <w:t>Journal of Family Medicine and Primary Care</w:t>
      </w:r>
      <w:r w:rsidRPr="007126A4">
        <w:rPr>
          <w:rFonts w:ascii="Times New Roman" w:hAnsi="Times New Roman" w:cs="Times New Roman"/>
          <w:noProof/>
          <w:szCs w:val="24"/>
        </w:rPr>
        <w:t>.</w:t>
      </w:r>
    </w:p>
    <w:p w14:paraId="54F70BFE"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Lurgain, J. G., Ouaarab-Essadek, H., Mellouki, K., Malik-Hameed, S., Sarif, A., Bruni, L., Rangel-Sarmiento, V., &amp; Peremiquel-Trillas, P. (2024). Exploring cultural competence barriers in the </w:t>
      </w:r>
      <w:r w:rsidRPr="007126A4">
        <w:rPr>
          <w:rFonts w:ascii="Times New Roman" w:hAnsi="Times New Roman" w:cs="Times New Roman"/>
          <w:noProof/>
          <w:szCs w:val="24"/>
        </w:rPr>
        <w:lastRenderedPageBreak/>
        <w:t xml:space="preserve">primary care sexual and reproductive health centres in Catalonia, Spain: perspectives from immigrant women and healthcare providers. </w:t>
      </w:r>
      <w:r w:rsidRPr="007126A4">
        <w:rPr>
          <w:rFonts w:ascii="Times New Roman" w:hAnsi="Times New Roman" w:cs="Times New Roman"/>
          <w:i/>
          <w:iCs/>
          <w:noProof/>
          <w:szCs w:val="24"/>
        </w:rPr>
        <w:t>International Journal for Equity in Health</w:t>
      </w:r>
      <w:r w:rsidRPr="007126A4">
        <w:rPr>
          <w:rFonts w:ascii="Times New Roman" w:hAnsi="Times New Roman" w:cs="Times New Roman"/>
          <w:noProof/>
          <w:szCs w:val="24"/>
        </w:rPr>
        <w:t>.</w:t>
      </w:r>
    </w:p>
    <w:p w14:paraId="2493FDB8"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Marek, E., &amp; Németh, T. (2020). Intercultural competence in healthcare. </w:t>
      </w:r>
      <w:r w:rsidRPr="007126A4">
        <w:rPr>
          <w:rFonts w:ascii="Times New Roman" w:hAnsi="Times New Roman" w:cs="Times New Roman"/>
          <w:i/>
          <w:iCs/>
          <w:noProof/>
          <w:szCs w:val="24"/>
        </w:rPr>
        <w:t>Orvosi Hetilap</w:t>
      </w:r>
      <w:r w:rsidRPr="007126A4">
        <w:rPr>
          <w:rFonts w:ascii="Times New Roman" w:hAnsi="Times New Roman" w:cs="Times New Roman"/>
          <w:noProof/>
          <w:szCs w:val="24"/>
        </w:rPr>
        <w:t>.</w:t>
      </w:r>
    </w:p>
    <w:p w14:paraId="5C794BA4"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Means, A. R., Kemp, C., Gwayi-Chore, M.-C., Gimbel, S., Soi, C., Sherr, K., Wagenaar, B., Wasserheit, J., &amp; Weiner, B. (2020). Evaluating and optimizing the consolidated framework for implementation research (CFIR) for use in low- and middle-income countries: a systematic review. </w:t>
      </w:r>
      <w:r w:rsidRPr="007126A4">
        <w:rPr>
          <w:rFonts w:ascii="Times New Roman" w:hAnsi="Times New Roman" w:cs="Times New Roman"/>
          <w:i/>
          <w:iCs/>
          <w:noProof/>
          <w:szCs w:val="24"/>
        </w:rPr>
        <w:t>Implementation Science</w:t>
      </w:r>
      <w:r w:rsidRPr="007126A4">
        <w:rPr>
          <w:rFonts w:ascii="Times New Roman" w:hAnsi="Times New Roman" w:cs="Times New Roman"/>
          <w:noProof/>
          <w:szCs w:val="24"/>
        </w:rPr>
        <w:t>.</w:t>
      </w:r>
    </w:p>
    <w:p w14:paraId="3457BD94"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Micheal, S., Ogbeide, A., Arora, A., Alford, S., Firdaus, R., Lim, D., &amp; Dune, T. (2021). Exploring Tertiary Health Science Student Willingness or Resistance to Cultural Competency and Safety Pedagogy. </w:t>
      </w:r>
      <w:r w:rsidRPr="007126A4">
        <w:rPr>
          <w:rFonts w:ascii="Times New Roman" w:hAnsi="Times New Roman" w:cs="Times New Roman"/>
          <w:i/>
          <w:iCs/>
          <w:noProof/>
          <w:szCs w:val="24"/>
        </w:rPr>
        <w:t>International Journal of Environmental Research and Public Health</w:t>
      </w:r>
      <w:r w:rsidRPr="007126A4">
        <w:rPr>
          <w:rFonts w:ascii="Times New Roman" w:hAnsi="Times New Roman" w:cs="Times New Roman"/>
          <w:noProof/>
          <w:szCs w:val="24"/>
        </w:rPr>
        <w:t>.</w:t>
      </w:r>
    </w:p>
    <w:p w14:paraId="251098EE"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Mishra, S. I., Adsul, P., Leekity, S., Rodman, J., Sussman, A., Kelly, K. E., Sheche, J., Faber, T., &amp; Shah, V. (2023). A culturally informed model to enhance breast, cervical, and colorectal cancer screenings: perspectives of American Indian adults and healthcare providers in rural New Mexico. </w:t>
      </w:r>
      <w:r w:rsidRPr="007126A4">
        <w:rPr>
          <w:rFonts w:ascii="Times New Roman" w:hAnsi="Times New Roman" w:cs="Times New Roman"/>
          <w:i/>
          <w:iCs/>
          <w:noProof/>
          <w:szCs w:val="24"/>
        </w:rPr>
        <w:t>Cancer Causes and Control</w:t>
      </w:r>
      <w:r w:rsidRPr="007126A4">
        <w:rPr>
          <w:rFonts w:ascii="Times New Roman" w:hAnsi="Times New Roman" w:cs="Times New Roman"/>
          <w:noProof/>
          <w:szCs w:val="24"/>
        </w:rPr>
        <w:t>.</w:t>
      </w:r>
    </w:p>
    <w:p w14:paraId="08C7A4DA"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Mohiyeddini, C. (2024). The imperative for cross-cultural medical education in globalized healthcare. </w:t>
      </w:r>
      <w:r w:rsidRPr="007126A4">
        <w:rPr>
          <w:rFonts w:ascii="Times New Roman" w:hAnsi="Times New Roman" w:cs="Times New Roman"/>
          <w:i/>
          <w:iCs/>
          <w:noProof/>
          <w:szCs w:val="24"/>
        </w:rPr>
        <w:t>Frontiers in Psychology</w:t>
      </w:r>
      <w:r w:rsidRPr="007126A4">
        <w:rPr>
          <w:rFonts w:ascii="Times New Roman" w:hAnsi="Times New Roman" w:cs="Times New Roman"/>
          <w:noProof/>
          <w:szCs w:val="24"/>
        </w:rPr>
        <w:t>.</w:t>
      </w:r>
    </w:p>
    <w:p w14:paraId="6E0BF01F"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Mouboua, P. D., Atobatele, F. A., &amp; Akintayo, O. T. (2024). Cross-cultural competence in global HRD: Strategies for developing an inclusive and diverse workforce. </w:t>
      </w:r>
      <w:r w:rsidRPr="007126A4">
        <w:rPr>
          <w:rFonts w:ascii="Times New Roman" w:hAnsi="Times New Roman" w:cs="Times New Roman"/>
          <w:i/>
          <w:iCs/>
          <w:noProof/>
          <w:szCs w:val="24"/>
        </w:rPr>
        <w:t>International Journal of Science and Research Archive</w:t>
      </w:r>
      <w:r w:rsidRPr="007126A4">
        <w:rPr>
          <w:rFonts w:ascii="Times New Roman" w:hAnsi="Times New Roman" w:cs="Times New Roman"/>
          <w:noProof/>
          <w:szCs w:val="24"/>
        </w:rPr>
        <w:t>.</w:t>
      </w:r>
    </w:p>
    <w:p w14:paraId="5B07C68D"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Notarnicola, I., Dervishi, A., Duka, B., Grosha, E., Gioiello, G., Carrodano, S., Rocco, G., &amp; Stievano, A. (2025). A Systematic Review of Nursing Competencies: Addressing the Challenges of Evolving Healthcare Systems and Demographic Changes. </w:t>
      </w:r>
      <w:r w:rsidRPr="007126A4">
        <w:rPr>
          <w:rFonts w:ascii="Times New Roman" w:hAnsi="Times New Roman" w:cs="Times New Roman"/>
          <w:i/>
          <w:iCs/>
          <w:noProof/>
          <w:szCs w:val="24"/>
        </w:rPr>
        <w:t>Nursing Reports</w:t>
      </w:r>
      <w:r w:rsidRPr="007126A4">
        <w:rPr>
          <w:rFonts w:ascii="Times New Roman" w:hAnsi="Times New Roman" w:cs="Times New Roman"/>
          <w:noProof/>
          <w:szCs w:val="24"/>
        </w:rPr>
        <w:t>.</w:t>
      </w:r>
    </w:p>
    <w:p w14:paraId="545901A3"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Odeny, B. (2021). Closing the health equity gap: A role for implementation science? </w:t>
      </w:r>
      <w:r w:rsidRPr="007126A4">
        <w:rPr>
          <w:rFonts w:ascii="Times New Roman" w:hAnsi="Times New Roman" w:cs="Times New Roman"/>
          <w:i/>
          <w:iCs/>
          <w:noProof/>
          <w:szCs w:val="24"/>
        </w:rPr>
        <w:t>PLoS Medicine</w:t>
      </w:r>
      <w:r w:rsidRPr="007126A4">
        <w:rPr>
          <w:rFonts w:ascii="Times New Roman" w:hAnsi="Times New Roman" w:cs="Times New Roman"/>
          <w:noProof/>
          <w:szCs w:val="24"/>
        </w:rPr>
        <w:t>.</w:t>
      </w:r>
    </w:p>
    <w:p w14:paraId="75A0B210"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Ogunlana, M., Oyewole, O., Aderonmu, J. A., Onyeso, O. K., Faloye, A. Y., &amp; Govender, P. (2023). Patterns and predictors of cultural competence practice among Nigerian hospital-based healthcare professionals. </w:t>
      </w:r>
      <w:r w:rsidRPr="007126A4">
        <w:rPr>
          <w:rFonts w:ascii="Times New Roman" w:hAnsi="Times New Roman" w:cs="Times New Roman"/>
          <w:i/>
          <w:iCs/>
          <w:noProof/>
          <w:szCs w:val="24"/>
        </w:rPr>
        <w:t>BMC Medical Education</w:t>
      </w:r>
      <w:r w:rsidRPr="007126A4">
        <w:rPr>
          <w:rFonts w:ascii="Times New Roman" w:hAnsi="Times New Roman" w:cs="Times New Roman"/>
          <w:noProof/>
          <w:szCs w:val="24"/>
        </w:rPr>
        <w:t>.</w:t>
      </w:r>
    </w:p>
    <w:p w14:paraId="30DC0693"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Okolo, C. A., Olorunsogo, T. O., &amp; Babawarun, O. (2024). Cultural variability in pain perception: A review of cross-cultural studies. </w:t>
      </w:r>
      <w:r w:rsidRPr="007126A4">
        <w:rPr>
          <w:rFonts w:ascii="Times New Roman" w:hAnsi="Times New Roman" w:cs="Times New Roman"/>
          <w:i/>
          <w:iCs/>
          <w:noProof/>
          <w:szCs w:val="24"/>
        </w:rPr>
        <w:t>International Journal of Science and Research Archive</w:t>
      </w:r>
      <w:r w:rsidRPr="007126A4">
        <w:rPr>
          <w:rFonts w:ascii="Times New Roman" w:hAnsi="Times New Roman" w:cs="Times New Roman"/>
          <w:noProof/>
          <w:szCs w:val="24"/>
        </w:rPr>
        <w:t>.</w:t>
      </w:r>
    </w:p>
    <w:p w14:paraId="03F50B80"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Razzaq, N., Khan, E. F., &amp; Razzaq, S. (2023). Analyzing the Role of Language and Religion in Culturally Competent Healthcare: An Interdisciplinary Perspective. </w:t>
      </w:r>
      <w:r w:rsidRPr="007126A4">
        <w:rPr>
          <w:rFonts w:ascii="Times New Roman" w:hAnsi="Times New Roman" w:cs="Times New Roman"/>
          <w:i/>
          <w:iCs/>
          <w:noProof/>
          <w:szCs w:val="24"/>
        </w:rPr>
        <w:t>Annals of Innovation in Medicine</w:t>
      </w:r>
      <w:r w:rsidRPr="007126A4">
        <w:rPr>
          <w:rFonts w:ascii="Times New Roman" w:hAnsi="Times New Roman" w:cs="Times New Roman"/>
          <w:noProof/>
          <w:szCs w:val="24"/>
        </w:rPr>
        <w:t>.</w:t>
      </w:r>
    </w:p>
    <w:p w14:paraId="6AC6D5A9"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Reddy, S. B., Speer, M. J., Todsen, J., Mutyala, S., Samadder, N., Moreno, G. G. G., Lewis, Y. L., Omar, F. M., Mishra, S., &amp; Umar, S. B. (2024). Moving the needle forward in health disparities: An education initiative. </w:t>
      </w:r>
      <w:r w:rsidRPr="007126A4">
        <w:rPr>
          <w:rFonts w:ascii="Times New Roman" w:hAnsi="Times New Roman" w:cs="Times New Roman"/>
          <w:i/>
          <w:iCs/>
          <w:noProof/>
          <w:szCs w:val="24"/>
        </w:rPr>
        <w:t>AIMS Medical Science</w:t>
      </w:r>
      <w:r w:rsidRPr="007126A4">
        <w:rPr>
          <w:rFonts w:ascii="Times New Roman" w:hAnsi="Times New Roman" w:cs="Times New Roman"/>
          <w:noProof/>
          <w:szCs w:val="24"/>
        </w:rPr>
        <w:t>.</w:t>
      </w:r>
    </w:p>
    <w:p w14:paraId="68FF9C05"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Rodrigues, I. B., Fahim, C., Garad, Y., Presseau, J., Hoens, A. M., Braimoh, J., Duncan, D., Bruyn-Martin, L., &amp; Straus, S. E. (2023). Developing the intersectionality supplemented Consolidated Framework for Implementation Research (CFIR) and tools for intersectionality considerations. </w:t>
      </w:r>
      <w:r w:rsidRPr="007126A4">
        <w:rPr>
          <w:rFonts w:ascii="Times New Roman" w:hAnsi="Times New Roman" w:cs="Times New Roman"/>
          <w:i/>
          <w:iCs/>
          <w:noProof/>
          <w:szCs w:val="24"/>
        </w:rPr>
        <w:t>BMC Medical Research Methodology</w:t>
      </w:r>
      <w:r w:rsidRPr="007126A4">
        <w:rPr>
          <w:rFonts w:ascii="Times New Roman" w:hAnsi="Times New Roman" w:cs="Times New Roman"/>
          <w:noProof/>
          <w:szCs w:val="24"/>
        </w:rPr>
        <w:t>.</w:t>
      </w:r>
    </w:p>
    <w:p w14:paraId="31114DC0"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Rosen, B., &amp; Miaari, S. (2025). Arab representation in Israeli healthcare professions: achievements, challenges and opportunities. </w:t>
      </w:r>
      <w:r w:rsidRPr="007126A4">
        <w:rPr>
          <w:rFonts w:ascii="Times New Roman" w:hAnsi="Times New Roman" w:cs="Times New Roman"/>
          <w:i/>
          <w:iCs/>
          <w:noProof/>
          <w:szCs w:val="24"/>
        </w:rPr>
        <w:t>Israel Journal of Health Policy Research</w:t>
      </w:r>
      <w:r w:rsidRPr="007126A4">
        <w:rPr>
          <w:rFonts w:ascii="Times New Roman" w:hAnsi="Times New Roman" w:cs="Times New Roman"/>
          <w:noProof/>
          <w:szCs w:val="24"/>
        </w:rPr>
        <w:t>.</w:t>
      </w:r>
    </w:p>
    <w:p w14:paraId="7FE081BB"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Sardi, A., Rizzi, A., Sorano, E., &amp; Guerrieri, A. (2020). Cyber Risk in Health Facilities: A Systematic Literature Review. </w:t>
      </w:r>
      <w:r w:rsidRPr="007126A4">
        <w:rPr>
          <w:rFonts w:ascii="Times New Roman" w:hAnsi="Times New Roman" w:cs="Times New Roman"/>
          <w:i/>
          <w:iCs/>
          <w:noProof/>
          <w:szCs w:val="24"/>
        </w:rPr>
        <w:t>Sustainability</w:t>
      </w:r>
      <w:r w:rsidRPr="007126A4">
        <w:rPr>
          <w:rFonts w:ascii="Times New Roman" w:hAnsi="Times New Roman" w:cs="Times New Roman"/>
          <w:noProof/>
          <w:szCs w:val="24"/>
        </w:rPr>
        <w:t>.</w:t>
      </w:r>
    </w:p>
    <w:p w14:paraId="62DDF1F8"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Sharmake, A. (2024). Healthcare Disparities among Socioeconomic Groups. </w:t>
      </w:r>
      <w:r w:rsidRPr="007126A4">
        <w:rPr>
          <w:rFonts w:ascii="Times New Roman" w:hAnsi="Times New Roman" w:cs="Times New Roman"/>
          <w:i/>
          <w:iCs/>
          <w:noProof/>
          <w:szCs w:val="24"/>
        </w:rPr>
        <w:t>International Journal of Humanities and Social Sciences</w:t>
      </w:r>
      <w:r w:rsidRPr="007126A4">
        <w:rPr>
          <w:rFonts w:ascii="Times New Roman" w:hAnsi="Times New Roman" w:cs="Times New Roman"/>
          <w:noProof/>
          <w:szCs w:val="24"/>
        </w:rPr>
        <w:t>.</w:t>
      </w:r>
    </w:p>
    <w:p w14:paraId="7798ADDA"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Shorey, S., Ng, E. D., &amp; Downe, S. (2021). Cultural competence and experiences of maternity health care providers on care for migrant women: A qualitative meta-synthesis. </w:t>
      </w:r>
      <w:r w:rsidRPr="007126A4">
        <w:rPr>
          <w:rFonts w:ascii="Times New Roman" w:hAnsi="Times New Roman" w:cs="Times New Roman"/>
          <w:i/>
          <w:iCs/>
          <w:noProof/>
          <w:szCs w:val="24"/>
        </w:rPr>
        <w:t>Birth</w:t>
      </w:r>
      <w:r w:rsidRPr="007126A4">
        <w:rPr>
          <w:rFonts w:ascii="Times New Roman" w:hAnsi="Times New Roman" w:cs="Times New Roman"/>
          <w:noProof/>
          <w:szCs w:val="24"/>
        </w:rPr>
        <w:t>.</w:t>
      </w:r>
    </w:p>
    <w:p w14:paraId="37528094"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Skjerve, H., Braaum, L. E., Goth, U., &amp; Sørensen, A. (2023). Using Simulations to Help Public Health Students Overcome Language Barriers for Better Health Outcomes. </w:t>
      </w:r>
      <w:r w:rsidRPr="007126A4">
        <w:rPr>
          <w:rFonts w:ascii="Times New Roman" w:hAnsi="Times New Roman" w:cs="Times New Roman"/>
          <w:i/>
          <w:iCs/>
          <w:noProof/>
          <w:szCs w:val="24"/>
        </w:rPr>
        <w:t xml:space="preserve">International Journal of </w:t>
      </w:r>
      <w:r w:rsidRPr="007126A4">
        <w:rPr>
          <w:rFonts w:ascii="Times New Roman" w:hAnsi="Times New Roman" w:cs="Times New Roman"/>
          <w:i/>
          <w:iCs/>
          <w:noProof/>
          <w:szCs w:val="24"/>
        </w:rPr>
        <w:lastRenderedPageBreak/>
        <w:t>Environmental Research and Public Health</w:t>
      </w:r>
      <w:r w:rsidRPr="007126A4">
        <w:rPr>
          <w:rFonts w:ascii="Times New Roman" w:hAnsi="Times New Roman" w:cs="Times New Roman"/>
          <w:noProof/>
          <w:szCs w:val="24"/>
        </w:rPr>
        <w:t>.</w:t>
      </w:r>
    </w:p>
    <w:p w14:paraId="731B7552"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Swaby, M. E., Anyimadu, G., Choshi, M., &amp; Belsare, P. (2025). A Mixed-Methods Analysis and Personal Narratives of Black Maternal Health Experiences in the American Healthcare System. </w:t>
      </w:r>
      <w:r w:rsidRPr="007126A4">
        <w:rPr>
          <w:rFonts w:ascii="Times New Roman" w:hAnsi="Times New Roman" w:cs="Times New Roman"/>
          <w:i/>
          <w:iCs/>
          <w:noProof/>
          <w:szCs w:val="24"/>
        </w:rPr>
        <w:t>Cureus</w:t>
      </w:r>
      <w:r w:rsidRPr="007126A4">
        <w:rPr>
          <w:rFonts w:ascii="Times New Roman" w:hAnsi="Times New Roman" w:cs="Times New Roman"/>
          <w:noProof/>
          <w:szCs w:val="24"/>
        </w:rPr>
        <w:t>.</w:t>
      </w:r>
    </w:p>
    <w:p w14:paraId="7F70B688"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Vandecasteele, R., Robijn, L., Willems, S., Maesschalck, S. De, &amp; Stevens, P. A. J. (2024). Barriers and facilitators to culturally sensitive care in general practice: a reflexive thematic analysis. </w:t>
      </w:r>
      <w:r w:rsidRPr="007126A4">
        <w:rPr>
          <w:rFonts w:ascii="Times New Roman" w:hAnsi="Times New Roman" w:cs="Times New Roman"/>
          <w:i/>
          <w:iCs/>
          <w:noProof/>
          <w:szCs w:val="24"/>
        </w:rPr>
        <w:t>BMC Primary Care</w:t>
      </w:r>
      <w:r w:rsidRPr="007126A4">
        <w:rPr>
          <w:rFonts w:ascii="Times New Roman" w:hAnsi="Times New Roman" w:cs="Times New Roman"/>
          <w:noProof/>
          <w:szCs w:val="24"/>
        </w:rPr>
        <w:t>.</w:t>
      </w:r>
    </w:p>
    <w:p w14:paraId="22178767"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6A4">
        <w:rPr>
          <w:rFonts w:ascii="Times New Roman" w:hAnsi="Times New Roman" w:cs="Times New Roman"/>
          <w:noProof/>
          <w:szCs w:val="24"/>
        </w:rPr>
        <w:t xml:space="preserve">Wang, C., Hou, X., Khawaja, N., Dunne, M., &amp; Shakespeare‐Finch, J. (2021). Improvement in the Cognitive Aspects of Cultural Competence after Short-Term Overseas Study Programs. </w:t>
      </w:r>
      <w:r w:rsidRPr="007126A4">
        <w:rPr>
          <w:rFonts w:ascii="Times New Roman" w:hAnsi="Times New Roman" w:cs="Times New Roman"/>
          <w:i/>
          <w:iCs/>
          <w:noProof/>
          <w:szCs w:val="24"/>
        </w:rPr>
        <w:t>International Journal of Environmental Research and Public Health</w:t>
      </w:r>
      <w:r w:rsidRPr="007126A4">
        <w:rPr>
          <w:rFonts w:ascii="Times New Roman" w:hAnsi="Times New Roman" w:cs="Times New Roman"/>
          <w:noProof/>
          <w:szCs w:val="24"/>
        </w:rPr>
        <w:t>.</w:t>
      </w:r>
    </w:p>
    <w:p w14:paraId="7BB247F7" w14:textId="77777777" w:rsidR="007126A4" w:rsidRPr="007126A4" w:rsidRDefault="007126A4" w:rsidP="007126A4">
      <w:pPr>
        <w:widowControl w:val="0"/>
        <w:autoSpaceDE w:val="0"/>
        <w:autoSpaceDN w:val="0"/>
        <w:adjustRightInd w:val="0"/>
        <w:spacing w:after="0" w:line="240" w:lineRule="auto"/>
        <w:ind w:left="480" w:hanging="480"/>
        <w:jc w:val="both"/>
        <w:rPr>
          <w:rFonts w:ascii="Times New Roman" w:hAnsi="Times New Roman" w:cs="Times New Roman"/>
          <w:noProof/>
        </w:rPr>
      </w:pPr>
      <w:r w:rsidRPr="007126A4">
        <w:rPr>
          <w:rFonts w:ascii="Times New Roman" w:hAnsi="Times New Roman" w:cs="Times New Roman"/>
          <w:noProof/>
          <w:szCs w:val="24"/>
        </w:rPr>
        <w:t xml:space="preserve">Woodward, E. N., Matthieu, M. M., Uchendu, U. S., Rogal, S., &amp; Kirchner, J. E. (2019). The health equity implementation framework: proposal and preliminary study of hepatitis C virus treatment. </w:t>
      </w:r>
      <w:r w:rsidRPr="007126A4">
        <w:rPr>
          <w:rFonts w:ascii="Times New Roman" w:hAnsi="Times New Roman" w:cs="Times New Roman"/>
          <w:i/>
          <w:iCs/>
          <w:noProof/>
          <w:szCs w:val="24"/>
        </w:rPr>
        <w:t>Implementation Science</w:t>
      </w:r>
      <w:r w:rsidRPr="007126A4">
        <w:rPr>
          <w:rFonts w:ascii="Times New Roman" w:hAnsi="Times New Roman" w:cs="Times New Roman"/>
          <w:noProof/>
          <w:szCs w:val="24"/>
        </w:rPr>
        <w:t>.</w:t>
      </w:r>
    </w:p>
    <w:p w14:paraId="7B003B04" w14:textId="58A75A03" w:rsidR="006250EF" w:rsidRDefault="00CE7767" w:rsidP="00CE7767">
      <w:pPr>
        <w:widowControl w:val="0"/>
        <w:spacing w:after="0" w:line="240" w:lineRule="auto"/>
        <w:ind w:right="281"/>
        <w:jc w:val="both"/>
        <w:rPr>
          <w:rFonts w:ascii="Times New Roman" w:eastAsia="Times New Roman" w:hAnsi="Times New Roman" w:cs="Times New Roman"/>
          <w:b/>
        </w:rPr>
      </w:pPr>
      <w:r>
        <w:rPr>
          <w:rFonts w:ascii="Times New Roman" w:eastAsia="Times New Roman" w:hAnsi="Times New Roman" w:cs="Times New Roman"/>
          <w:b/>
        </w:rPr>
        <w:fldChar w:fldCharType="end"/>
      </w:r>
    </w:p>
    <w:sectPr w:rsidR="006250EF">
      <w:headerReference w:type="even" r:id="rId10"/>
      <w:headerReference w:type="default" r:id="rId11"/>
      <w:footerReference w:type="default" r:id="rId12"/>
      <w:headerReference w:type="first" r:id="rId13"/>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42AA" w14:textId="77777777" w:rsidR="009B0939" w:rsidRDefault="009B0939">
      <w:pPr>
        <w:spacing w:after="0" w:line="240" w:lineRule="auto"/>
      </w:pPr>
      <w:r>
        <w:separator/>
      </w:r>
    </w:p>
  </w:endnote>
  <w:endnote w:type="continuationSeparator" w:id="0">
    <w:p w14:paraId="6FF2306F" w14:textId="77777777" w:rsidR="009B0939" w:rsidRDefault="009B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0C5ED9" w14:paraId="542BFB90" w14:textId="77777777" w:rsidTr="000C5ED9">
      <w:trPr>
        <w:trHeight w:hRule="exact" w:val="115"/>
        <w:jc w:val="center"/>
      </w:trPr>
      <w:tc>
        <w:tcPr>
          <w:tcW w:w="4539" w:type="dxa"/>
          <w:shd w:val="clear" w:color="auto" w:fill="4F81BD" w:themeFill="accent1"/>
          <w:tcMar>
            <w:top w:w="0" w:type="dxa"/>
            <w:bottom w:w="0" w:type="dxa"/>
          </w:tcMar>
        </w:tcPr>
        <w:p w14:paraId="2912A45F" w14:textId="77777777" w:rsidR="000C5ED9" w:rsidRDefault="000C5ED9">
          <w:pPr>
            <w:pStyle w:val="Header"/>
            <w:rPr>
              <w:caps/>
              <w:sz w:val="18"/>
            </w:rPr>
          </w:pPr>
        </w:p>
      </w:tc>
      <w:tc>
        <w:tcPr>
          <w:tcW w:w="4531" w:type="dxa"/>
          <w:shd w:val="clear" w:color="auto" w:fill="4F81BD" w:themeFill="accent1"/>
          <w:tcMar>
            <w:top w:w="0" w:type="dxa"/>
            <w:bottom w:w="0" w:type="dxa"/>
          </w:tcMar>
        </w:tcPr>
        <w:p w14:paraId="4B389153" w14:textId="77777777" w:rsidR="000C5ED9" w:rsidRDefault="000C5ED9">
          <w:pPr>
            <w:pStyle w:val="Header"/>
            <w:jc w:val="right"/>
            <w:rPr>
              <w:caps/>
              <w:sz w:val="18"/>
            </w:rPr>
          </w:pPr>
        </w:p>
      </w:tc>
    </w:tr>
    <w:tr w:rsidR="000C5ED9" w14:paraId="18889AEF" w14:textId="77777777" w:rsidTr="000C5ED9">
      <w:trPr>
        <w:jc w:val="center"/>
      </w:trPr>
      <w:tc>
        <w:tcPr>
          <w:tcW w:w="4539" w:type="dxa"/>
          <w:shd w:val="clear" w:color="auto" w:fill="auto"/>
          <w:vAlign w:val="center"/>
        </w:tcPr>
        <w:p w14:paraId="365E980F" w14:textId="77777777" w:rsidR="000C5ED9" w:rsidRPr="00934109" w:rsidRDefault="000C5ED9" w:rsidP="000C5ED9">
          <w:pPr>
            <w:pStyle w:val="Footer"/>
            <w:rPr>
              <w:caps/>
              <w:color w:val="808080" w:themeColor="background1" w:themeShade="80"/>
              <w:sz w:val="16"/>
              <w:szCs w:val="18"/>
            </w:rPr>
          </w:pPr>
          <w:r w:rsidRPr="00934109">
            <w:rPr>
              <w:noProof/>
              <w:color w:val="0000FF"/>
              <w:sz w:val="14"/>
            </w:rPr>
            <w:drawing>
              <wp:anchor distT="0" distB="0" distL="114300" distR="114300" simplePos="0" relativeHeight="251671552" behindDoc="1" locked="0" layoutInCell="1" allowOverlap="1" wp14:anchorId="41A89984" wp14:editId="7C1643AD">
                <wp:simplePos x="0" y="0"/>
                <wp:positionH relativeFrom="column">
                  <wp:posOffset>-165735</wp:posOffset>
                </wp:positionH>
                <wp:positionV relativeFrom="paragraph">
                  <wp:posOffset>75565</wp:posOffset>
                </wp:positionV>
                <wp:extent cx="650240" cy="228600"/>
                <wp:effectExtent l="0" t="0" r="0" b="0"/>
                <wp:wrapTight wrapText="bothSides">
                  <wp:wrapPolygon edited="0">
                    <wp:start x="0" y="0"/>
                    <wp:lineTo x="0" y="19800"/>
                    <wp:lineTo x="20883" y="19800"/>
                    <wp:lineTo x="20883" y="0"/>
                    <wp:lineTo x="0" y="0"/>
                  </wp:wrapPolygon>
                </wp:wrapTight>
                <wp:docPr id="3" name="Picture 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rPr>
            <w:br/>
          </w:r>
          <w:r w:rsidRPr="00FD67D3">
            <w:rPr>
              <w:sz w:val="14"/>
            </w:rPr>
            <w:t xml:space="preserve">This is an open access article under </w:t>
          </w:r>
          <w:hyperlink r:id="rId3" w:history="1">
            <w:r w:rsidRPr="00934109">
              <w:rPr>
                <w:rStyle w:val="Hyperlink"/>
                <w:sz w:val="14"/>
              </w:rPr>
              <w:t>Creative Commons Attribution-ShareAlike 4.0 International License</w:t>
            </w:r>
          </w:hyperlink>
        </w:p>
      </w:tc>
      <w:tc>
        <w:tcPr>
          <w:tcW w:w="4531" w:type="dxa"/>
          <w:shd w:val="clear" w:color="auto" w:fill="auto"/>
          <w:vAlign w:val="center"/>
        </w:tcPr>
        <w:p w14:paraId="65FC3BA2" w14:textId="77777777" w:rsidR="000C5ED9" w:rsidRPr="00934109" w:rsidRDefault="000C5ED9" w:rsidP="000C5ED9">
          <w:pPr>
            <w:pStyle w:val="Footer"/>
            <w:jc w:val="right"/>
            <w:rPr>
              <w:rFonts w:ascii="Times New Roman" w:hAnsi="Times New Roman" w:cs="Times New Roman"/>
              <w:b/>
              <w:caps/>
              <w:color w:val="808080" w:themeColor="background1" w:themeShade="80"/>
              <w:sz w:val="24"/>
              <w:szCs w:val="24"/>
            </w:rPr>
          </w:pPr>
          <w:r w:rsidRPr="00934109">
            <w:rPr>
              <w:rFonts w:ascii="Times New Roman" w:hAnsi="Times New Roman" w:cs="Times New Roman"/>
              <w:b/>
              <w:caps/>
              <w:sz w:val="24"/>
              <w:szCs w:val="24"/>
            </w:rPr>
            <w:fldChar w:fldCharType="begin"/>
          </w:r>
          <w:r w:rsidRPr="00934109">
            <w:rPr>
              <w:rFonts w:ascii="Times New Roman" w:hAnsi="Times New Roman" w:cs="Times New Roman"/>
              <w:b/>
              <w:caps/>
              <w:sz w:val="24"/>
              <w:szCs w:val="24"/>
            </w:rPr>
            <w:instrText xml:space="preserve"> PAGE   \* MERGEFORMAT </w:instrText>
          </w:r>
          <w:r w:rsidRPr="00934109">
            <w:rPr>
              <w:rFonts w:ascii="Times New Roman" w:hAnsi="Times New Roman" w:cs="Times New Roman"/>
              <w:b/>
              <w:caps/>
              <w:sz w:val="24"/>
              <w:szCs w:val="24"/>
            </w:rPr>
            <w:fldChar w:fldCharType="separate"/>
          </w:r>
          <w:r w:rsidR="005D2950">
            <w:rPr>
              <w:rFonts w:ascii="Times New Roman" w:hAnsi="Times New Roman" w:cs="Times New Roman"/>
              <w:b/>
              <w:caps/>
              <w:noProof/>
              <w:sz w:val="24"/>
              <w:szCs w:val="24"/>
            </w:rPr>
            <w:t>5</w:t>
          </w:r>
          <w:r w:rsidRPr="00934109">
            <w:rPr>
              <w:rFonts w:ascii="Times New Roman" w:hAnsi="Times New Roman" w:cs="Times New Roman"/>
              <w:b/>
              <w:caps/>
              <w:noProof/>
              <w:sz w:val="24"/>
              <w:szCs w:val="24"/>
            </w:rPr>
            <w:fldChar w:fldCharType="end"/>
          </w:r>
        </w:p>
      </w:tc>
    </w:tr>
  </w:tbl>
  <w:p w14:paraId="4BAC7793" w14:textId="77777777" w:rsidR="00E66F2E" w:rsidRDefault="00E66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AD5F7" w14:textId="77777777" w:rsidR="009B0939" w:rsidRDefault="009B0939">
      <w:pPr>
        <w:spacing w:after="0" w:line="240" w:lineRule="auto"/>
      </w:pPr>
      <w:r>
        <w:separator/>
      </w:r>
    </w:p>
  </w:footnote>
  <w:footnote w:type="continuationSeparator" w:id="0">
    <w:p w14:paraId="044D75B3" w14:textId="77777777" w:rsidR="009B0939" w:rsidRDefault="009B0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3FA0" w14:textId="77777777" w:rsidR="00E66F2E" w:rsidRDefault="009B0939">
    <w:pPr>
      <w:pStyle w:val="Header"/>
    </w:pPr>
    <w:r>
      <w:rPr>
        <w:noProof/>
      </w:rPr>
      <w:pict w14:anchorId="5706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7" o:spid="_x0000_s2062" type="#_x0000_t75" style="position:absolute;margin-left:0;margin-top:0;width:142.6pt;height:125.3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tblInd w:w="-834"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0138"/>
    </w:tblGrid>
    <w:tr w:rsidR="000E79C9" w14:paraId="1C33D7C1" w14:textId="77777777" w:rsidTr="00E66F2E">
      <w:tc>
        <w:tcPr>
          <w:tcW w:w="10138" w:type="dxa"/>
          <w:tcBorders>
            <w:top w:val="single" w:sz="4" w:space="0" w:color="000000"/>
            <w:bottom w:val="single" w:sz="24" w:space="0" w:color="000000"/>
          </w:tcBorders>
          <w:shd w:val="clear" w:color="auto" w:fill="auto"/>
        </w:tcPr>
        <w:p w14:paraId="35E1A8DB" w14:textId="0FDC5AA1" w:rsidR="00082EDE" w:rsidRDefault="008E7A78" w:rsidP="000E79C9">
          <w:pPr>
            <w:pBdr>
              <w:top w:val="nil"/>
              <w:left w:val="nil"/>
              <w:bottom w:val="nil"/>
              <w:right w:val="nil"/>
              <w:between w:val="nil"/>
            </w:pBdr>
            <w:rPr>
              <w:rFonts w:ascii="Cambria" w:eastAsia="Cambria" w:hAnsi="Cambria" w:cs="Cambria"/>
              <w:color w:val="0070C0"/>
              <w:sz w:val="16"/>
              <w:szCs w:val="16"/>
            </w:rPr>
          </w:pPr>
          <w:r>
            <w:rPr>
              <w:rFonts w:ascii="Cambria" w:eastAsia="Cambria" w:hAnsi="Cambria" w:cs="Cambria"/>
              <w:noProof/>
              <w:color w:val="0070C0"/>
              <w:sz w:val="44"/>
              <w:szCs w:val="16"/>
            </w:rPr>
            <mc:AlternateContent>
              <mc:Choice Requires="wps">
                <w:drawing>
                  <wp:anchor distT="0" distB="0" distL="114300" distR="114300" simplePos="0" relativeHeight="251661312" behindDoc="0" locked="0" layoutInCell="1" allowOverlap="1" wp14:anchorId="2E2AE864" wp14:editId="27CC2CC9">
                    <wp:simplePos x="0" y="0"/>
                    <wp:positionH relativeFrom="column">
                      <wp:posOffset>887730</wp:posOffset>
                    </wp:positionH>
                    <wp:positionV relativeFrom="paragraph">
                      <wp:posOffset>216535</wp:posOffset>
                    </wp:positionV>
                    <wp:extent cx="4495800" cy="393700"/>
                    <wp:effectExtent l="0" t="0" r="0" b="0"/>
                    <wp:wrapNone/>
                    <wp:docPr id="10" name="Rectangle 10"/>
                    <wp:cNvGraphicFramePr/>
                    <a:graphic xmlns:a="http://schemas.openxmlformats.org/drawingml/2006/main">
                      <a:graphicData uri="http://schemas.microsoft.com/office/word/2010/wordprocessingShape">
                        <wps:wsp>
                          <wps:cNvSpPr/>
                          <wps:spPr>
                            <a:xfrm>
                              <a:off x="0" y="0"/>
                              <a:ext cx="44958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E864" id="Rectangle 10" o:spid="_x0000_s1030" style="position:absolute;margin-left:69.9pt;margin-top:17.05pt;width:35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" filled="f" stroked="f" strokeweight="2pt">
                    <v:textbo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v:textbox>
                  </v:rect>
                </w:pict>
              </mc:Fallback>
            </mc:AlternateContent>
          </w:r>
          <w:r>
            <w:rPr>
              <w:rFonts w:ascii="Cambria" w:eastAsia="Cambria" w:hAnsi="Cambria" w:cs="Cambria"/>
              <w:noProof/>
              <w:color w:val="0070C0"/>
              <w:sz w:val="16"/>
              <w:szCs w:val="16"/>
            </w:rPr>
            <w:drawing>
              <wp:anchor distT="0" distB="0" distL="114300" distR="114300" simplePos="0" relativeHeight="251672576" behindDoc="1" locked="0" layoutInCell="1" allowOverlap="1" wp14:anchorId="00090592" wp14:editId="06F01AF7">
                <wp:simplePos x="0" y="0"/>
                <wp:positionH relativeFrom="column">
                  <wp:posOffset>-1270</wp:posOffset>
                </wp:positionH>
                <wp:positionV relativeFrom="paragraph">
                  <wp:posOffset>635</wp:posOffset>
                </wp:positionV>
                <wp:extent cx="873125" cy="64135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4894" t="17475" r="23100" b="14942"/>
                        <a:stretch/>
                      </pic:blipFill>
                      <pic:spPr bwMode="auto">
                        <a:xfrm>
                          <a:off x="0" y="0"/>
                          <a:ext cx="873125" cy="641350"/>
                        </a:xfrm>
                        <a:prstGeom prst="rect">
                          <a:avLst/>
                        </a:prstGeom>
                        <a:ln>
                          <a:noFill/>
                        </a:ln>
                        <a:extLst>
                          <a:ext uri="{53640926-AAD7-44D8-BBD7-CCE9431645EC}">
                            <a14:shadowObscured xmlns:a14="http://schemas.microsoft.com/office/drawing/2010/main"/>
                          </a:ext>
                        </a:extLst>
                      </pic:spPr>
                    </pic:pic>
                  </a:graphicData>
                </a:graphic>
              </wp:anchor>
            </w:drawing>
          </w:r>
          <w:r w:rsidR="00082EDE">
            <w:rPr>
              <w:rFonts w:ascii="Cambria" w:eastAsia="Cambria" w:hAnsi="Cambria" w:cs="Cambria"/>
              <w:color w:val="0070C0"/>
              <w:sz w:val="16"/>
              <w:szCs w:val="16"/>
            </w:rPr>
            <w:t xml:space="preserve">                                                                                                                                           </w:t>
          </w:r>
        </w:p>
        <w:p w14:paraId="2D17A5D6" w14:textId="1BDF9A80" w:rsidR="00082EDE" w:rsidRPr="00082EDE" w:rsidRDefault="00082EDE" w:rsidP="000E79C9">
          <w:pPr>
            <w:pBdr>
              <w:top w:val="nil"/>
              <w:left w:val="nil"/>
              <w:bottom w:val="nil"/>
              <w:right w:val="nil"/>
              <w:between w:val="nil"/>
            </w:pBdr>
            <w:rPr>
              <w:rFonts w:ascii="Cambria" w:eastAsia="Cambria" w:hAnsi="Cambria" w:cs="Cambria"/>
              <w:color w:val="0070C0"/>
              <w:sz w:val="44"/>
              <w:szCs w:val="16"/>
            </w:rPr>
          </w:pPr>
          <w:r>
            <w:rPr>
              <w:rFonts w:ascii="Cambria" w:eastAsia="Cambria" w:hAnsi="Cambria" w:cs="Cambria"/>
              <w:color w:val="0070C0"/>
              <w:sz w:val="44"/>
              <w:szCs w:val="16"/>
            </w:rPr>
            <w:t xml:space="preserve">             </w:t>
          </w:r>
        </w:p>
        <w:p w14:paraId="7F41D922" w14:textId="7854B29A" w:rsidR="000E79C9" w:rsidRPr="008E7A78" w:rsidRDefault="008E7A78" w:rsidP="008E7A78">
          <w:pPr>
            <w:rPr>
              <w:rFonts w:asciiTheme="majorHAnsi" w:hAnsiTheme="majorHAnsi" w:cs="Times New Roman"/>
              <w:color w:val="365F91" w:themeColor="accent1" w:themeShade="BF"/>
              <w:sz w:val="16"/>
              <w:szCs w:val="16"/>
            </w:rPr>
          </w:pPr>
          <w:r w:rsidRPr="008E7A78">
            <w:rPr>
              <w:rFonts w:asciiTheme="majorHAnsi" w:hAnsiTheme="majorHAnsi" w:cs="Times New Roman"/>
              <w:color w:val="365F91" w:themeColor="accent1" w:themeShade="BF"/>
              <w:sz w:val="16"/>
              <w:szCs w:val="16"/>
            </w:rPr>
            <w:t>International Ethnopsyciatric Nursing</w:t>
          </w:r>
          <w:r w:rsidR="00082EDE" w:rsidRPr="00151DB4">
            <w:rPr>
              <w:rFonts w:ascii="Cambria" w:eastAsia="Cambria" w:hAnsi="Cambria" w:cs="Cambria"/>
              <w:color w:val="365F91" w:themeColor="accent1" w:themeShade="BF"/>
              <w:sz w:val="16"/>
              <w:szCs w:val="16"/>
            </w:rPr>
            <w:t>, Vol 1 Issue 1</w:t>
          </w:r>
          <w:r w:rsidR="00A4460E">
            <w:rPr>
              <w:rFonts w:ascii="Cambria" w:eastAsia="Cambria" w:hAnsi="Cambria" w:cs="Cambria"/>
              <w:color w:val="365F91" w:themeColor="accent1" w:themeShade="BF"/>
              <w:sz w:val="16"/>
              <w:szCs w:val="16"/>
            </w:rPr>
            <w:t xml:space="preserve"> 2023                                          </w:t>
          </w:r>
          <w:r w:rsidR="004B78A7">
            <w:rPr>
              <w:rFonts w:ascii="Cambria" w:eastAsia="Cambria" w:hAnsi="Cambria" w:cs="Cambria"/>
              <w:color w:val="365F91" w:themeColor="accent1" w:themeShade="BF"/>
              <w:sz w:val="16"/>
              <w:szCs w:val="16"/>
            </w:rPr>
            <w:t xml:space="preserve">                            </w:t>
          </w:r>
          <w:r>
            <w:rPr>
              <w:rFonts w:ascii="Cambria" w:eastAsia="Cambria" w:hAnsi="Cambria" w:cs="Cambria"/>
              <w:color w:val="365F91" w:themeColor="accent1" w:themeShade="BF"/>
              <w:sz w:val="16"/>
              <w:szCs w:val="16"/>
            </w:rPr>
            <w:t xml:space="preserve">                                                             </w:t>
          </w:r>
          <w:r w:rsidR="004B78A7">
            <w:rPr>
              <w:rFonts w:ascii="Cambria" w:eastAsia="Cambria" w:hAnsi="Cambria" w:cs="Cambria"/>
              <w:color w:val="365F91" w:themeColor="accent1" w:themeShade="BF"/>
              <w:sz w:val="16"/>
              <w:szCs w:val="16"/>
            </w:rPr>
            <w:t xml:space="preserve"> </w:t>
          </w:r>
          <w:r w:rsidR="00E66F2E">
            <w:rPr>
              <w:rFonts w:ascii="Cambria" w:eastAsia="Cambria" w:hAnsi="Cambria" w:cs="Cambria"/>
              <w:color w:val="365F91" w:themeColor="accent1" w:themeShade="BF"/>
              <w:sz w:val="16"/>
              <w:szCs w:val="16"/>
            </w:rPr>
            <w:t>E-</w:t>
          </w:r>
          <w:r w:rsidR="00A4460E">
            <w:rPr>
              <w:rFonts w:ascii="Cambria" w:eastAsia="Cambria" w:hAnsi="Cambria" w:cs="Cambria"/>
              <w:color w:val="365F91" w:themeColor="accent1" w:themeShade="BF"/>
              <w:sz w:val="16"/>
              <w:szCs w:val="16"/>
            </w:rPr>
            <w:t xml:space="preserve">ISSN : </w:t>
          </w:r>
          <w:r>
            <w:rPr>
              <w:rFonts w:asciiTheme="majorHAnsi" w:hAnsiTheme="majorHAnsi"/>
              <w:color w:val="4F81BD" w:themeColor="accent1"/>
              <w:sz w:val="16"/>
            </w:rPr>
            <w:t>0000</w:t>
          </w:r>
          <w:r w:rsidR="000C5ED9" w:rsidRPr="000C5ED9">
            <w:rPr>
              <w:rFonts w:asciiTheme="majorHAnsi" w:hAnsiTheme="majorHAnsi"/>
              <w:color w:val="4F81BD" w:themeColor="accent1"/>
              <w:sz w:val="16"/>
            </w:rPr>
            <w:t>-</w:t>
          </w:r>
          <w:r>
            <w:rPr>
              <w:rFonts w:asciiTheme="majorHAnsi" w:hAnsiTheme="majorHAnsi"/>
              <w:color w:val="4F81BD" w:themeColor="accent1"/>
              <w:sz w:val="16"/>
            </w:rPr>
            <w:t>0000</w:t>
          </w:r>
        </w:p>
      </w:tc>
    </w:tr>
  </w:tbl>
  <w:p w14:paraId="0BE8B7E5" w14:textId="77777777" w:rsidR="000E79C9" w:rsidRDefault="00A4460E" w:rsidP="00151D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color w:val="000000"/>
        <w:sz w:val="4"/>
        <w:szCs w:val="4"/>
      </w:rPr>
      <mc:AlternateContent>
        <mc:Choice Requires="wps">
          <w:drawing>
            <wp:anchor distT="0" distB="0" distL="114300" distR="114300" simplePos="0" relativeHeight="251663360" behindDoc="0" locked="0" layoutInCell="1" allowOverlap="1" wp14:anchorId="464F4E15" wp14:editId="6B734EF2">
              <wp:simplePos x="0" y="0"/>
              <wp:positionH relativeFrom="column">
                <wp:posOffset>4928870</wp:posOffset>
              </wp:positionH>
              <wp:positionV relativeFrom="paragraph">
                <wp:posOffset>-1106805</wp:posOffset>
              </wp:positionV>
              <wp:extent cx="1104900" cy="675640"/>
              <wp:effectExtent l="0" t="0" r="0" b="0"/>
              <wp:wrapNone/>
              <wp:docPr id="13" name="Rectangle 13"/>
              <wp:cNvGraphicFramePr/>
              <a:graphic xmlns:a="http://schemas.openxmlformats.org/drawingml/2006/main">
                <a:graphicData uri="http://schemas.microsoft.com/office/word/2010/wordprocessingShape">
                  <wps:wsp>
                    <wps:cNvSpPr/>
                    <wps:spPr>
                      <a:xfrm>
                        <a:off x="0" y="0"/>
                        <a:ext cx="1104900" cy="675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4F4E15" id="Rectangle 13" o:spid="_x0000_s1031" style="position:absolute;margin-left:388.1pt;margin-top:-87.15pt;width:87pt;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" filled="f" stroked="f" strokeweight="2pt">
              <v:textbo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Tarqabin</w:t>
                    </w:r>
                    <w:proofErr w:type="spellEnd"/>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45079" w14:textId="77777777" w:rsidR="00E66F2E" w:rsidRDefault="009B0939">
    <w:pPr>
      <w:pStyle w:val="Header"/>
    </w:pPr>
    <w:r>
      <w:rPr>
        <w:noProof/>
      </w:rPr>
      <w:pict w14:anchorId="7D2F4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6" o:spid="_x0000_s2061" type="#_x0000_t75" style="position:absolute;margin-left:0;margin-top:0;width:142.6pt;height:125.3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EF"/>
    <w:rsid w:val="00014761"/>
    <w:rsid w:val="00017FE3"/>
    <w:rsid w:val="00082EDE"/>
    <w:rsid w:val="00085AF8"/>
    <w:rsid w:val="00096D9F"/>
    <w:rsid w:val="000C5ED9"/>
    <w:rsid w:val="000E79C9"/>
    <w:rsid w:val="00113530"/>
    <w:rsid w:val="00151DB4"/>
    <w:rsid w:val="00274871"/>
    <w:rsid w:val="00294A19"/>
    <w:rsid w:val="002B27B3"/>
    <w:rsid w:val="00335BA8"/>
    <w:rsid w:val="0039314E"/>
    <w:rsid w:val="00406566"/>
    <w:rsid w:val="004801DF"/>
    <w:rsid w:val="004B78A7"/>
    <w:rsid w:val="004C3819"/>
    <w:rsid w:val="00595C96"/>
    <w:rsid w:val="005D2950"/>
    <w:rsid w:val="005D361E"/>
    <w:rsid w:val="005E70D2"/>
    <w:rsid w:val="006250EF"/>
    <w:rsid w:val="00657086"/>
    <w:rsid w:val="006D1AF2"/>
    <w:rsid w:val="006F3040"/>
    <w:rsid w:val="007126A4"/>
    <w:rsid w:val="00746A62"/>
    <w:rsid w:val="007A79A2"/>
    <w:rsid w:val="00850127"/>
    <w:rsid w:val="0086112B"/>
    <w:rsid w:val="00861A37"/>
    <w:rsid w:val="008E7A78"/>
    <w:rsid w:val="00963115"/>
    <w:rsid w:val="009B0939"/>
    <w:rsid w:val="009D02C5"/>
    <w:rsid w:val="00A4460E"/>
    <w:rsid w:val="00AF5F75"/>
    <w:rsid w:val="00B32E7A"/>
    <w:rsid w:val="00B35142"/>
    <w:rsid w:val="00BC0128"/>
    <w:rsid w:val="00CE7767"/>
    <w:rsid w:val="00D57CAF"/>
    <w:rsid w:val="00DC17CA"/>
    <w:rsid w:val="00E66F2E"/>
    <w:rsid w:val="00EB08ED"/>
    <w:rsid w:val="00EB38D1"/>
    <w:rsid w:val="00EC06C8"/>
    <w:rsid w:val="00EE1D06"/>
    <w:rsid w:val="00F06AA2"/>
    <w:rsid w:val="00F443C3"/>
    <w:rsid w:val="00F617F2"/>
    <w:rsid w:val="00F87CD1"/>
    <w:rsid w:val="00FB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AB054A8"/>
  <w15:docId w15:val="{CF37A671-CD8C-4E0A-AF2C-794B9FFD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42"/>
  </w:style>
  <w:style w:type="paragraph" w:styleId="Heading1">
    <w:name w:val="heading 1"/>
    <w:basedOn w:val="Normal"/>
    <w:link w:val="Heading1Char"/>
    <w:uiPriority w:val="1"/>
    <w:qFormat/>
    <w:rsid w:val="00C46139"/>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46139"/>
    <w:pPr>
      <w:widowControl w:val="0"/>
      <w:autoSpaceDE w:val="0"/>
      <w:autoSpaceDN w:val="0"/>
      <w:spacing w:after="0" w:line="240" w:lineRule="auto"/>
      <w:ind w:left="2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4613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613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39"/>
    <w:rsid w:val="00F73BB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paragraph" w:styleId="BodyText">
    <w:name w:val="Body Text"/>
    <w:basedOn w:val="Normal"/>
    <w:link w:val="BodyTextChar"/>
    <w:uiPriority w:val="1"/>
    <w:qFormat/>
    <w:rsid w:val="00C46139"/>
    <w:pPr>
      <w:widowControl w:val="0"/>
      <w:autoSpaceDE w:val="0"/>
      <w:autoSpaceDN w:val="0"/>
      <w:spacing w:after="0" w:line="240" w:lineRule="auto"/>
      <w:ind w:left="220"/>
    </w:pPr>
    <w:rPr>
      <w:rFonts w:ascii="Arial MT" w:eastAsia="Arial MT" w:hAnsi="Arial MT" w:cs="Arial MT"/>
    </w:rPr>
  </w:style>
  <w:style w:type="character" w:customStyle="1" w:styleId="BodyTextChar">
    <w:name w:val="Body Text Char"/>
    <w:basedOn w:val="DefaultParagraphFont"/>
    <w:link w:val="BodyText"/>
    <w:uiPriority w:val="1"/>
    <w:rsid w:val="00C46139"/>
    <w:rPr>
      <w:rFonts w:ascii="Arial MT" w:eastAsia="Arial MT" w:hAnsi="Arial MT" w:cs="Arial MT"/>
      <w:lang w:val="en-US"/>
    </w:rPr>
  </w:style>
  <w:style w:type="character" w:customStyle="1" w:styleId="Heading1Char">
    <w:name w:val="Heading 1 Char"/>
    <w:basedOn w:val="DefaultParagraphFont"/>
    <w:link w:val="Heading1"/>
    <w:uiPriority w:val="1"/>
    <w:rsid w:val="00C4613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46139"/>
    <w:rPr>
      <w:rFonts w:ascii="Arial" w:eastAsia="Arial" w:hAnsi="Arial" w:cs="Arial"/>
      <w:b/>
      <w:bCs/>
      <w:lang w:val="en-US"/>
    </w:rPr>
  </w:style>
  <w:style w:type="character" w:customStyle="1" w:styleId="Heading3Char">
    <w:name w:val="Heading 3 Char"/>
    <w:basedOn w:val="DefaultParagraphFont"/>
    <w:link w:val="Heading3"/>
    <w:uiPriority w:val="9"/>
    <w:semiHidden/>
    <w:rsid w:val="00C461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C46139"/>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C46139"/>
  </w:style>
  <w:style w:type="paragraph" w:customStyle="1" w:styleId="TableParagraph">
    <w:name w:val="Table Paragraph"/>
    <w:basedOn w:val="Normal"/>
    <w:uiPriority w:val="1"/>
    <w:qFormat/>
    <w:rsid w:val="00C46139"/>
    <w:pPr>
      <w:widowControl w:val="0"/>
      <w:autoSpaceDE w:val="0"/>
      <w:autoSpaceDN w:val="0"/>
      <w:spacing w:before="31" w:after="0" w:line="240" w:lineRule="auto"/>
    </w:pPr>
    <w:rPr>
      <w:rFonts w:ascii="Arial MT" w:eastAsia="Arial MT" w:hAnsi="Arial MT" w:cs="Arial MT"/>
    </w:rPr>
  </w:style>
  <w:style w:type="numbering" w:customStyle="1" w:styleId="NoList2">
    <w:name w:val="No List2"/>
    <w:next w:val="NoList"/>
    <w:uiPriority w:val="99"/>
    <w:semiHidden/>
    <w:unhideWhenUsed/>
    <w:rsid w:val="00C378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styleId="GridTable1Light-Accent1">
    <w:name w:val="Grid Table 1 Light Accent 1"/>
    <w:basedOn w:val="TableNormal"/>
    <w:uiPriority w:val="46"/>
    <w:rsid w:val="004801D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01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2255/mjhp.v1i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yFRu5YDhgt5IDp35Jd1YlcFqYw==">AMUW2mUW7qUn4rPu8j0/sbZPnJk/kNqDK9pMToQwa+MZ2pwLlt+N3H5czQkZwkfA2GZEXpEMVkJ084IalQ0ac+ubBDaU5bFrSriNUyIXgShXYYBYzcHBKaFO+yHavZtuY+2KfkplLN63xBiGmgdL7CopbkxQNCfmMBANiJ15yTemshxIG9Gs4RzbSYgKuh0EdDDpWQxR3t98N9jSdOLlwdntGHC3EIufvBBwPi7BGaP4RWLxEBSybRs=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38E7C-0D18-4E43-A56F-4C2F0EA0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15124</Words>
  <Characters>86209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Kuswanto</dc:creator>
  <cp:lastModifiedBy>Microsoft account</cp:lastModifiedBy>
  <cp:revision>7</cp:revision>
  <dcterms:created xsi:type="dcterms:W3CDTF">2025-06-13T03:14:00Z</dcterms:created>
  <dcterms:modified xsi:type="dcterms:W3CDTF">2025-06-13T05:17:00Z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12th edition - Harvard</vt:lpwstr>
  </property>
  <property fmtid="{D5CDD505-2E9C-101B-9397-08002B2CF9AE}" pid="6" name="Mendeley Recent Style Id 2_1">
    <vt:lpwstr>http://www.zotero.org/styles/harvard-dundalk-institute-of-technology</vt:lpwstr>
  </property>
  <property fmtid="{D5CDD505-2E9C-101B-9397-08002B2CF9AE}" pid="7" name="Mendeley Recent Style Name 2_1">
    <vt:lpwstr>Dundalk Institute of Technology - Harvard</vt:lpwstr>
  </property>
  <property fmtid="{D5CDD505-2E9C-101B-9397-08002B2CF9AE}" pid="8" name="Mendeley Recent Style Id 3_1">
    <vt:lpwstr>http://www.zotero.org/styles/durban-university-of-technology-harvard</vt:lpwstr>
  </property>
  <property fmtid="{D5CDD505-2E9C-101B-9397-08002B2CF9AE}" pid="9" name="Mendeley Recent Style Name 3_1">
    <vt:lpwstr>Durban University of Technology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4a0f2a2d-029f-3fa6-8eb3-687a34cb7a69</vt:lpwstr>
  </property>
  <property fmtid="{D5CDD505-2E9C-101B-9397-08002B2CF9AE}" pid="24" name="Mendeley Citation Style_1">
    <vt:lpwstr>http://www.zotero.org/styles/apa</vt:lpwstr>
  </property>
</Properties>
</file>